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02976" w:rsidRPr="00376DE9" w:rsidP="00290038">
      <w:pPr>
        <w:pStyle w:val="Title"/>
        <w:rPr>
          <w:rFonts w:ascii="Times New Roman" w:hAnsi="Times New Roman"/>
        </w:rPr>
      </w:pPr>
      <w:r w:rsidRPr="00376DE9">
        <w:rPr>
          <w:rFonts w:ascii="Times New Roman" w:hAnsi="Times New Roman"/>
        </w:rPr>
        <w:t xml:space="preserve">Written evidence from </w:t>
      </w:r>
    </w:p>
    <w:p w:rsidR="00AF2FC5" w:rsidRPr="00376DE9" w:rsidP="00290038">
      <w:pPr>
        <w:pStyle w:val="Title"/>
        <w:rPr>
          <w:rFonts w:ascii="Times New Roman" w:hAnsi="Times New Roman"/>
        </w:rPr>
      </w:pPr>
      <w:r w:rsidRPr="00376DE9">
        <w:rPr>
          <w:rFonts w:ascii="Times New Roman" w:hAnsi="Times New Roman"/>
        </w:rPr>
        <w:t>Dr Me</w:t>
      </w:r>
      <w:r w:rsidRPr="00376DE9">
        <w:rPr>
          <w:rFonts w:ascii="Times New Roman" w:hAnsi="Times New Roman"/>
        </w:rPr>
        <w:t>lanie Collard,</w:t>
      </w:r>
      <w:r w:rsidRPr="00376DE9">
        <w:rPr>
          <w:rFonts w:ascii="Times New Roman" w:hAnsi="Times New Roman"/>
        </w:rPr>
        <w:t xml:space="preserve"> Brunel University London; </w:t>
      </w:r>
      <w:r w:rsidRPr="00376DE9">
        <w:rPr>
          <w:rFonts w:ascii="Times New Roman" w:hAnsi="Times New Roman"/>
        </w:rPr>
        <w:t xml:space="preserve">Dr </w:t>
      </w:r>
      <w:r w:rsidRPr="00376DE9">
        <w:rPr>
          <w:rFonts w:ascii="Times New Roman" w:hAnsi="Times New Roman"/>
        </w:rPr>
        <w:t>Isra</w:t>
      </w:r>
      <w:r w:rsidRPr="00376DE9">
        <w:rPr>
          <w:rFonts w:ascii="Times New Roman" w:hAnsi="Times New Roman"/>
        </w:rPr>
        <w:t xml:space="preserve"> Black,</w:t>
      </w:r>
      <w:r w:rsidRPr="00376DE9">
        <w:rPr>
          <w:rFonts w:ascii="Times New Roman" w:hAnsi="Times New Roman"/>
        </w:rPr>
        <w:t xml:space="preserve"> University of York;</w:t>
      </w:r>
      <w:r w:rsidRPr="00376DE9">
        <w:rPr>
          <w:rFonts w:ascii="Times New Roman" w:hAnsi="Times New Roman"/>
        </w:rPr>
        <w:t xml:space="preserve"> </w:t>
      </w:r>
      <w:r w:rsidRPr="00376DE9">
        <w:rPr>
          <w:rFonts w:ascii="Times New Roman" w:hAnsi="Times New Roman"/>
        </w:rPr>
        <w:t xml:space="preserve">Dr Lisa Forsberg, University of Oxford; </w:t>
      </w:r>
      <w:r w:rsidRPr="00376DE9">
        <w:rPr>
          <w:rFonts w:ascii="Times New Roman" w:hAnsi="Times New Roman"/>
        </w:rPr>
        <w:t>Dr Henrique Carvalh</w:t>
      </w:r>
      <w:r w:rsidRPr="00376DE9">
        <w:rPr>
          <w:rFonts w:ascii="Times New Roman" w:hAnsi="Times New Roman"/>
        </w:rPr>
        <w:t xml:space="preserve">o, University of </w:t>
      </w:r>
      <w:r w:rsidRPr="00376DE9">
        <w:rPr>
          <w:rFonts w:ascii="Times New Roman" w:hAnsi="Times New Roman"/>
        </w:rPr>
        <w:t>Warwick;</w:t>
      </w:r>
      <w:r w:rsidRPr="00376DE9">
        <w:rPr>
          <w:rFonts w:ascii="Times New Roman" w:hAnsi="Times New Roman"/>
        </w:rPr>
        <w:t xml:space="preserve"> Dr Anastasia Chamberlen, </w:t>
      </w:r>
      <w:r w:rsidRPr="00376DE9">
        <w:rPr>
          <w:rFonts w:ascii="Times New Roman" w:hAnsi="Times New Roman"/>
        </w:rPr>
        <w:t>University of Warwick</w:t>
      </w:r>
    </w:p>
    <w:p w:rsidR="00C02976" w:rsidRPr="00376DE9" w:rsidP="00290038">
      <w:pPr>
        <w:pStyle w:val="Heading1"/>
        <w:numPr>
          <w:ilvl w:val="0"/>
          <w:numId w:val="0"/>
        </w:numPr>
        <w:rPr>
          <w:rFonts w:ascii="Times New Roman" w:hAnsi="Times New Roman" w:cs="Times New Roman"/>
        </w:rPr>
      </w:pPr>
      <w:r w:rsidRPr="00376DE9">
        <w:rPr>
          <w:rFonts w:ascii="Times New Roman" w:hAnsi="Times New Roman" w:cs="Times New Roman"/>
        </w:rPr>
        <w:t>Introduction and summary</w:t>
      </w:r>
    </w:p>
    <w:p w:rsidR="00A60FC4" w:rsidRPr="00376DE9" w:rsidP="00290038">
      <w:pPr>
        <w:pStyle w:val="Body"/>
        <w:numPr>
          <w:ilvl w:val="0"/>
          <w:numId w:val="13"/>
        </w:numPr>
        <w:ind w:left="0" w:hanging="357"/>
        <w:rPr>
          <w:rFonts w:ascii="Times New Roman" w:hAnsi="Times New Roman"/>
        </w:rPr>
      </w:pPr>
      <w:r w:rsidRPr="00376DE9">
        <w:rPr>
          <w:rFonts w:ascii="Times New Roman" w:hAnsi="Times New Roman"/>
        </w:rPr>
        <w:t>We are academics specialising in criminal law and criminal justice, criminology, health law, human rights law, and moral and political philosophy.</w:t>
      </w:r>
    </w:p>
    <w:p w:rsidR="00C02976"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This evidence submission on </w:t>
      </w:r>
      <w:r w:rsidRPr="00376DE9">
        <w:rPr>
          <w:rFonts w:ascii="Times New Roman" w:hAnsi="Times New Roman"/>
        </w:rPr>
        <w:t>Covid-19 and the criminal law covers the following matters</w:t>
      </w:r>
      <w:r w:rsidRPr="00376DE9">
        <w:rPr>
          <w:rFonts w:ascii="Times New Roman" w:hAnsi="Times New Roman"/>
        </w:rPr>
        <w:t>:</w:t>
      </w:r>
    </w:p>
    <w:p w:rsidR="00C961E8" w:rsidRPr="00376DE9" w:rsidP="00290038">
      <w:pPr>
        <w:pStyle w:val="Body"/>
        <w:numPr>
          <w:ilvl w:val="1"/>
          <w:numId w:val="14"/>
        </w:numPr>
        <w:ind w:left="714" w:hanging="357"/>
        <w:rPr>
          <w:rFonts w:ascii="Times New Roman" w:hAnsi="Times New Roman"/>
        </w:rPr>
      </w:pPr>
      <w:r w:rsidRPr="00376DE9">
        <w:rPr>
          <w:rFonts w:ascii="Times New Roman" w:hAnsi="Times New Roman"/>
        </w:rPr>
        <w:t>the principle of legality</w:t>
      </w:r>
      <w:r w:rsidRPr="00376DE9">
        <w:rPr>
          <w:rFonts w:ascii="Times New Roman" w:hAnsi="Times New Roman"/>
        </w:rPr>
        <w:t xml:space="preserve"> </w:t>
      </w:r>
      <w:r w:rsidRPr="00376DE9">
        <w:rPr>
          <w:rFonts w:ascii="Times New Roman" w:hAnsi="Times New Roman"/>
        </w:rPr>
        <w:t>[</w:t>
      </w:r>
      <w:r w:rsidRPr="00376DE9">
        <w:rPr>
          <w:rFonts w:ascii="Times New Roman" w:hAnsi="Times New Roman"/>
        </w:rPr>
        <w:t>pages 1-5 paragraphs 5-16</w:t>
      </w:r>
      <w:r w:rsidRPr="00376DE9">
        <w:rPr>
          <w:rFonts w:ascii="Times New Roman" w:hAnsi="Times New Roman"/>
        </w:rPr>
        <w:t>]</w:t>
      </w:r>
    </w:p>
    <w:p w:rsidR="00C961E8" w:rsidRPr="00376DE9" w:rsidP="00290038">
      <w:pPr>
        <w:pStyle w:val="Body"/>
        <w:numPr>
          <w:ilvl w:val="1"/>
          <w:numId w:val="14"/>
        </w:numPr>
        <w:ind w:left="714" w:hanging="357"/>
        <w:rPr>
          <w:rFonts w:ascii="Times New Roman" w:hAnsi="Times New Roman"/>
        </w:rPr>
      </w:pPr>
      <w:r w:rsidRPr="00376DE9">
        <w:rPr>
          <w:rFonts w:ascii="Times New Roman" w:hAnsi="Times New Roman"/>
        </w:rPr>
        <w:t>legitimacy and public trust</w:t>
      </w:r>
      <w:r w:rsidRPr="00376DE9">
        <w:rPr>
          <w:rFonts w:ascii="Times New Roman" w:hAnsi="Times New Roman"/>
        </w:rPr>
        <w:t xml:space="preserve"> </w:t>
      </w:r>
      <w:r w:rsidRPr="00376DE9">
        <w:rPr>
          <w:rFonts w:ascii="Times New Roman" w:hAnsi="Times New Roman"/>
        </w:rPr>
        <w:t>[</w:t>
      </w:r>
      <w:r w:rsidRPr="00376DE9">
        <w:rPr>
          <w:rFonts w:ascii="Times New Roman" w:hAnsi="Times New Roman"/>
        </w:rPr>
        <w:t>page</w:t>
      </w:r>
      <w:r w:rsidRPr="00376DE9">
        <w:rPr>
          <w:rFonts w:ascii="Times New Roman" w:hAnsi="Times New Roman"/>
        </w:rPr>
        <w:t>s 5</w:t>
      </w:r>
      <w:r w:rsidRPr="00376DE9">
        <w:rPr>
          <w:rFonts w:ascii="Times New Roman" w:hAnsi="Times New Roman"/>
        </w:rPr>
        <w:t>-6 paragraphs 17-22</w:t>
      </w:r>
      <w:r w:rsidRPr="00376DE9">
        <w:rPr>
          <w:rFonts w:ascii="Times New Roman" w:hAnsi="Times New Roman"/>
        </w:rPr>
        <w:t>]</w:t>
      </w:r>
    </w:p>
    <w:p w:rsidR="00C961E8" w:rsidRPr="00376DE9" w:rsidP="00290038">
      <w:pPr>
        <w:pStyle w:val="Body"/>
        <w:numPr>
          <w:ilvl w:val="1"/>
          <w:numId w:val="14"/>
        </w:numPr>
        <w:ind w:left="714" w:hanging="357"/>
        <w:rPr>
          <w:rFonts w:ascii="Times New Roman" w:hAnsi="Times New Roman"/>
        </w:rPr>
      </w:pPr>
      <w:r w:rsidRPr="00376DE9">
        <w:rPr>
          <w:rFonts w:ascii="Times New Roman" w:hAnsi="Times New Roman"/>
        </w:rPr>
        <w:t>criminalisation</w:t>
      </w:r>
      <w:r w:rsidRPr="00376DE9">
        <w:rPr>
          <w:rFonts w:ascii="Times New Roman" w:hAnsi="Times New Roman"/>
        </w:rPr>
        <w:t xml:space="preserve"> and public health</w:t>
      </w:r>
      <w:r w:rsidRPr="00376DE9">
        <w:rPr>
          <w:rFonts w:ascii="Times New Roman" w:hAnsi="Times New Roman"/>
        </w:rPr>
        <w:t xml:space="preserve"> </w:t>
      </w:r>
      <w:r w:rsidRPr="00376DE9">
        <w:rPr>
          <w:rFonts w:ascii="Times New Roman" w:hAnsi="Times New Roman"/>
        </w:rPr>
        <w:t>[</w:t>
      </w:r>
      <w:r w:rsidRPr="00376DE9">
        <w:rPr>
          <w:rFonts w:ascii="Times New Roman" w:hAnsi="Times New Roman"/>
        </w:rPr>
        <w:t xml:space="preserve">pages 6-7 paragraphs </w:t>
      </w:r>
      <w:r w:rsidRPr="00376DE9">
        <w:rPr>
          <w:rFonts w:ascii="Times New Roman" w:hAnsi="Times New Roman"/>
        </w:rPr>
        <w:t>23-27]</w:t>
      </w:r>
    </w:p>
    <w:p w:rsidR="00C961E8" w:rsidRPr="00376DE9" w:rsidP="00290038">
      <w:pPr>
        <w:pStyle w:val="Body"/>
        <w:numPr>
          <w:ilvl w:val="1"/>
          <w:numId w:val="14"/>
        </w:numPr>
        <w:ind w:left="714" w:hanging="357"/>
        <w:rPr>
          <w:rFonts w:ascii="Times New Roman" w:hAnsi="Times New Roman"/>
        </w:rPr>
      </w:pPr>
      <w:r w:rsidRPr="00376DE9">
        <w:rPr>
          <w:rFonts w:ascii="Times New Roman" w:hAnsi="Times New Roman"/>
        </w:rPr>
        <w:t>fixed-penalty notices</w:t>
      </w:r>
      <w:r w:rsidRPr="00376DE9">
        <w:rPr>
          <w:rFonts w:ascii="Times New Roman" w:hAnsi="Times New Roman"/>
        </w:rPr>
        <w:t xml:space="preserve"> </w:t>
      </w:r>
      <w:r w:rsidRPr="00376DE9">
        <w:rPr>
          <w:rFonts w:ascii="Times New Roman" w:hAnsi="Times New Roman"/>
        </w:rPr>
        <w:t>(FPNs)</w:t>
      </w:r>
      <w:r w:rsidRPr="00376DE9">
        <w:rPr>
          <w:rFonts w:ascii="Times New Roman" w:hAnsi="Times New Roman"/>
        </w:rPr>
        <w:t xml:space="preserve"> [pages 7-9 paragraphs 28-33]</w:t>
      </w:r>
    </w:p>
    <w:p w:rsidR="00C961E8"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Our </w:t>
      </w:r>
      <w:r w:rsidRPr="00376DE9">
        <w:rPr>
          <w:rFonts w:ascii="Times New Roman" w:hAnsi="Times New Roman"/>
          <w:b/>
          <w:bCs/>
          <w:u w:val="single"/>
        </w:rPr>
        <w:t>summary conclusions</w:t>
      </w:r>
      <w:r w:rsidRPr="00376DE9">
        <w:rPr>
          <w:rFonts w:ascii="Times New Roman" w:hAnsi="Times New Roman"/>
        </w:rPr>
        <w:t xml:space="preserve"> are:</w:t>
      </w:r>
    </w:p>
    <w:p w:rsidR="00C961E8" w:rsidRPr="00376DE9" w:rsidP="00290038">
      <w:pPr>
        <w:pStyle w:val="Body"/>
        <w:numPr>
          <w:ilvl w:val="1"/>
          <w:numId w:val="13"/>
        </w:numPr>
        <w:ind w:left="714" w:hanging="357"/>
        <w:rPr>
          <w:rFonts w:ascii="Times New Roman" w:hAnsi="Times New Roman"/>
        </w:rPr>
      </w:pPr>
      <w:r w:rsidRPr="00376DE9">
        <w:rPr>
          <w:rFonts w:ascii="Times New Roman" w:hAnsi="Times New Roman"/>
        </w:rPr>
        <w:t>The legal regime for coronavirus restrictions gives rise to significant concern in respect of compliance with the requirements of the ECHR principle of legality.</w:t>
      </w:r>
    </w:p>
    <w:p w:rsidR="00C961E8" w:rsidRPr="00376DE9" w:rsidP="00290038">
      <w:pPr>
        <w:pStyle w:val="Body"/>
        <w:numPr>
          <w:ilvl w:val="1"/>
          <w:numId w:val="13"/>
        </w:numPr>
        <w:ind w:left="714" w:hanging="357"/>
        <w:rPr>
          <w:rFonts w:ascii="Times New Roman" w:hAnsi="Times New Roman"/>
        </w:rPr>
      </w:pPr>
      <w:r w:rsidRPr="00376DE9">
        <w:rPr>
          <w:rFonts w:ascii="Times New Roman" w:hAnsi="Times New Roman"/>
        </w:rPr>
        <w:t>T</w:t>
      </w:r>
      <w:r w:rsidRPr="00376DE9">
        <w:rPr>
          <w:rFonts w:ascii="Times New Roman" w:hAnsi="Times New Roman"/>
        </w:rPr>
        <w:t>he government’s extensive us</w:t>
      </w:r>
      <w:r w:rsidRPr="00376DE9">
        <w:rPr>
          <w:rFonts w:ascii="Times New Roman" w:hAnsi="Times New Roman"/>
        </w:rPr>
        <w:t>e of criminalisation through the made affirmative procedure has deprived coronavirus restrictions of democratic legitimacy and may have reduced public understanding, acceptance, and trust in the legal response to Covid-19.</w:t>
      </w:r>
    </w:p>
    <w:p w:rsidR="00C961E8" w:rsidRPr="00376DE9" w:rsidP="00290038">
      <w:pPr>
        <w:pStyle w:val="Body"/>
        <w:numPr>
          <w:ilvl w:val="1"/>
          <w:numId w:val="13"/>
        </w:numPr>
        <w:ind w:left="714" w:hanging="357"/>
        <w:rPr>
          <w:rFonts w:ascii="Times New Roman" w:hAnsi="Times New Roman"/>
        </w:rPr>
      </w:pPr>
      <w:r w:rsidRPr="00376DE9">
        <w:rPr>
          <w:rFonts w:ascii="Times New Roman" w:hAnsi="Times New Roman"/>
        </w:rPr>
        <w:t>The experience of the response to</w:t>
      </w:r>
      <w:r w:rsidRPr="00376DE9">
        <w:rPr>
          <w:rFonts w:ascii="Times New Roman" w:hAnsi="Times New Roman"/>
        </w:rPr>
        <w:t xml:space="preserve"> Covid-19 offers an opportunity to learn lessons about the appropriateness and extent of criminalisation in public health, both in terms of effectiveness and externalities.</w:t>
      </w:r>
    </w:p>
    <w:p w:rsidR="00C961E8" w:rsidRPr="00376DE9" w:rsidP="00774C55">
      <w:pPr>
        <w:pStyle w:val="Body"/>
        <w:numPr>
          <w:ilvl w:val="1"/>
          <w:numId w:val="13"/>
        </w:numPr>
        <w:ind w:left="714" w:hanging="357"/>
        <w:rPr>
          <w:rFonts w:ascii="Times New Roman" w:hAnsi="Times New Roman"/>
        </w:rPr>
      </w:pPr>
      <w:r w:rsidRPr="00376DE9">
        <w:rPr>
          <w:rFonts w:ascii="Times New Roman" w:hAnsi="Times New Roman"/>
        </w:rPr>
        <w:t>T</w:t>
      </w:r>
      <w:r w:rsidRPr="00376DE9">
        <w:rPr>
          <w:rFonts w:ascii="Times New Roman" w:hAnsi="Times New Roman"/>
        </w:rPr>
        <w:t>he use of FPNs as the principal tool of criminalisation of Covid-19 offences risks</w:t>
      </w:r>
      <w:r w:rsidRPr="00376DE9">
        <w:rPr>
          <w:rFonts w:ascii="Times New Roman" w:hAnsi="Times New Roman"/>
        </w:rPr>
        <w:t xml:space="preserve"> unintended criminalisation, may be counterproductive to public health objectives, and may further entrench inequality</w:t>
      </w:r>
      <w:r w:rsidRPr="00376DE9">
        <w:rPr>
          <w:rFonts w:ascii="Times New Roman" w:hAnsi="Times New Roman"/>
        </w:rPr>
        <w:t xml:space="preserve"> and discrimination</w:t>
      </w:r>
      <w:r w:rsidRPr="00376DE9">
        <w:rPr>
          <w:rFonts w:ascii="Times New Roman" w:hAnsi="Times New Roman"/>
        </w:rPr>
        <w:t>.</w:t>
      </w:r>
    </w:p>
    <w:p w:rsidR="00607D01" w:rsidRPr="00376DE9" w:rsidP="00290038">
      <w:pPr>
        <w:pStyle w:val="Body"/>
        <w:numPr>
          <w:ilvl w:val="0"/>
          <w:numId w:val="13"/>
        </w:numPr>
        <w:ind w:left="0" w:hanging="357"/>
        <w:rPr>
          <w:rFonts w:ascii="Times New Roman" w:hAnsi="Times New Roman"/>
        </w:rPr>
      </w:pPr>
      <w:r w:rsidRPr="00376DE9">
        <w:rPr>
          <w:rFonts w:ascii="Times New Roman" w:hAnsi="Times New Roman"/>
        </w:rPr>
        <w:t>Our evidence considers the law in England only</w:t>
      </w:r>
      <w:r w:rsidRPr="00376DE9">
        <w:rPr>
          <w:rFonts w:ascii="Times New Roman" w:hAnsi="Times New Roman"/>
        </w:rPr>
        <w:t>.</w:t>
      </w:r>
    </w:p>
    <w:p w:rsidR="00C02976" w:rsidRPr="00376DE9" w:rsidP="00290038">
      <w:pPr>
        <w:pStyle w:val="Heading1"/>
        <w:numPr>
          <w:ilvl w:val="0"/>
          <w:numId w:val="0"/>
        </w:numPr>
        <w:rPr>
          <w:rFonts w:ascii="Times New Roman" w:hAnsi="Times New Roman" w:cs="Times New Roman"/>
        </w:rPr>
      </w:pPr>
      <w:r w:rsidRPr="00376DE9">
        <w:rPr>
          <w:rFonts w:ascii="Times New Roman" w:hAnsi="Times New Roman" w:cs="Times New Roman"/>
        </w:rPr>
        <w:t>Covid-19 legislation and the principle of legality</w:t>
      </w:r>
    </w:p>
    <w:p w:rsidR="00711CEB" w:rsidRPr="00376DE9" w:rsidP="00290038">
      <w:pPr>
        <w:pStyle w:val="Body"/>
        <w:numPr>
          <w:ilvl w:val="0"/>
          <w:numId w:val="13"/>
        </w:numPr>
        <w:ind w:left="0" w:hanging="357"/>
        <w:rPr>
          <w:rFonts w:ascii="Times New Roman" w:hAnsi="Times New Roman"/>
        </w:rPr>
      </w:pPr>
      <w:r w:rsidRPr="00376DE9">
        <w:rPr>
          <w:rFonts w:ascii="Times New Roman" w:hAnsi="Times New Roman"/>
        </w:rPr>
        <w:t>T</w:t>
      </w:r>
      <w:r w:rsidRPr="00376DE9">
        <w:rPr>
          <w:rFonts w:ascii="Times New Roman" w:hAnsi="Times New Roman"/>
        </w:rPr>
        <w:t xml:space="preserve">he </w:t>
      </w:r>
      <w:r w:rsidRPr="00376DE9">
        <w:rPr>
          <w:rFonts w:ascii="Times New Roman" w:hAnsi="Times New Roman"/>
          <w:i/>
          <w:iCs/>
        </w:rPr>
        <w:t>principle of legality</w:t>
      </w:r>
      <w:r w:rsidRPr="00376DE9">
        <w:rPr>
          <w:rFonts w:ascii="Times New Roman" w:hAnsi="Times New Roman"/>
        </w:rPr>
        <w:t xml:space="preserve"> is a term </w:t>
      </w:r>
      <w:r w:rsidRPr="00376DE9">
        <w:rPr>
          <w:rFonts w:ascii="Times New Roman" w:hAnsi="Times New Roman"/>
        </w:rPr>
        <w:t xml:space="preserve">employed </w:t>
      </w:r>
      <w:r w:rsidRPr="00376DE9">
        <w:rPr>
          <w:rFonts w:ascii="Times New Roman" w:hAnsi="Times New Roman"/>
        </w:rPr>
        <w:t>to reflect the idea that individuals ought not to be</w:t>
      </w:r>
      <w:r w:rsidRPr="00376DE9">
        <w:rPr>
          <w:rFonts w:ascii="Times New Roman" w:hAnsi="Times New Roman"/>
        </w:rPr>
        <w:t>, among other things,</w:t>
      </w:r>
      <w:r w:rsidRPr="00376DE9">
        <w:rPr>
          <w:rFonts w:ascii="Times New Roman" w:hAnsi="Times New Roman"/>
        </w:rPr>
        <w:t xml:space="preserve"> held liable for crimes and punishment unless the relevant offences and sentences are prescribed by law.</w:t>
      </w:r>
      <w:r w:rsidRPr="00376DE9">
        <w:rPr>
          <w:rFonts w:ascii="Times New Roman" w:hAnsi="Times New Roman"/>
        </w:rPr>
        <w:t xml:space="preserve"> The principle is reflected in article</w:t>
      </w:r>
      <w:r w:rsidRPr="00376DE9">
        <w:rPr>
          <w:rFonts w:ascii="Times New Roman" w:hAnsi="Times New Roman"/>
        </w:rPr>
        <w:t xml:space="preserve"> 7 ECHR (no punishment without law), as well as in the requir</w:t>
      </w:r>
      <w:r w:rsidRPr="00376DE9">
        <w:rPr>
          <w:rFonts w:ascii="Times New Roman" w:hAnsi="Times New Roman"/>
        </w:rPr>
        <w:t>ement that</w:t>
      </w:r>
      <w:r w:rsidRPr="00376DE9">
        <w:rPr>
          <w:rFonts w:ascii="Times New Roman" w:hAnsi="Times New Roman"/>
        </w:rPr>
        <w:t xml:space="preserve"> interference with the interests protected by </w:t>
      </w:r>
      <w:r w:rsidRPr="00376DE9">
        <w:rPr>
          <w:rFonts w:ascii="Times New Roman" w:hAnsi="Times New Roman"/>
        </w:rPr>
        <w:t xml:space="preserve">ECHR </w:t>
      </w:r>
      <w:r w:rsidRPr="00376DE9">
        <w:rPr>
          <w:rFonts w:ascii="Times New Roman" w:hAnsi="Times New Roman"/>
        </w:rPr>
        <w:t>articles 5 (liberty and security), 8 (private and family life), 9 (freedom of thought, conscience and religion), 10 (freedom of expres</w:t>
      </w:r>
      <w:r w:rsidRPr="00376DE9">
        <w:rPr>
          <w:rFonts w:ascii="Times New Roman" w:hAnsi="Times New Roman"/>
        </w:rPr>
        <w:t xml:space="preserve">sion), 11 (freedom of assembly and association), 12 (marriage) </w:t>
      </w:r>
      <w:r w:rsidRPr="00376DE9">
        <w:rPr>
          <w:rFonts w:ascii="Times New Roman" w:hAnsi="Times New Roman"/>
        </w:rPr>
        <w:t xml:space="preserve">be </w:t>
      </w:r>
      <w:r w:rsidRPr="00376DE9">
        <w:rPr>
          <w:rFonts w:ascii="Times New Roman" w:hAnsi="Times New Roman"/>
        </w:rPr>
        <w:t>‘</w:t>
      </w:r>
      <w:r w:rsidRPr="00376DE9">
        <w:rPr>
          <w:rFonts w:ascii="Times New Roman" w:hAnsi="Times New Roman"/>
        </w:rPr>
        <w:t>in accordance</w:t>
      </w:r>
      <w:r w:rsidRPr="00376DE9">
        <w:rPr>
          <w:rFonts w:ascii="Times New Roman" w:hAnsi="Times New Roman"/>
        </w:rPr>
        <w:t xml:space="preserve"> with</w:t>
      </w:r>
      <w:r w:rsidRPr="00376DE9">
        <w:rPr>
          <w:rFonts w:ascii="Times New Roman" w:hAnsi="Times New Roman"/>
        </w:rPr>
        <w:t>’</w:t>
      </w:r>
      <w:r w:rsidRPr="00376DE9">
        <w:rPr>
          <w:rFonts w:ascii="Times New Roman" w:hAnsi="Times New Roman"/>
        </w:rPr>
        <w:t xml:space="preserve"> or </w:t>
      </w:r>
      <w:r w:rsidRPr="00376DE9">
        <w:rPr>
          <w:rFonts w:ascii="Times New Roman" w:hAnsi="Times New Roman"/>
        </w:rPr>
        <w:t>‘</w:t>
      </w:r>
      <w:r w:rsidRPr="00376DE9">
        <w:rPr>
          <w:rFonts w:ascii="Times New Roman" w:hAnsi="Times New Roman"/>
        </w:rPr>
        <w:t>prescribed by law</w:t>
      </w:r>
      <w:r w:rsidRPr="00376DE9">
        <w:rPr>
          <w:rFonts w:ascii="Times New Roman" w:hAnsi="Times New Roman"/>
        </w:rPr>
        <w:t>’</w:t>
      </w:r>
      <w:r w:rsidRPr="00376DE9">
        <w:rPr>
          <w:rFonts w:ascii="Times New Roman" w:hAnsi="Times New Roman"/>
        </w:rPr>
        <w:t>.</w:t>
      </w:r>
    </w:p>
    <w:p w:rsidR="004E3292" w:rsidRPr="00376DE9" w:rsidP="00290038">
      <w:pPr>
        <w:pStyle w:val="Body"/>
        <w:numPr>
          <w:ilvl w:val="0"/>
          <w:numId w:val="13"/>
        </w:numPr>
        <w:ind w:left="0" w:hanging="357"/>
        <w:rPr>
          <w:rFonts w:ascii="Times New Roman" w:hAnsi="Times New Roman"/>
        </w:rPr>
      </w:pPr>
      <w:r w:rsidRPr="00376DE9">
        <w:rPr>
          <w:rFonts w:ascii="Times New Roman" w:hAnsi="Times New Roman"/>
        </w:rPr>
        <w:t>It is well-established that the restrictions that form part of the public response to Covid-19 contained in the Coronavirus Act 2020 and in regul</w:t>
      </w:r>
      <w:r w:rsidRPr="00376DE9">
        <w:rPr>
          <w:rFonts w:ascii="Times New Roman" w:hAnsi="Times New Roman"/>
        </w:rPr>
        <w:t xml:space="preserve">ations drawn under the Public Health (Control of Disease) Act 1984 interfere with a variety of interests protected by </w:t>
      </w:r>
      <w:r w:rsidRPr="00376DE9">
        <w:rPr>
          <w:rFonts w:ascii="Times New Roman" w:hAnsi="Times New Roman"/>
        </w:rPr>
        <w:t>the ECHR,</w:t>
      </w:r>
      <w:bookmarkStart w:id="0" w:name="_Ref68615893"/>
      <w:r>
        <w:rPr>
          <w:rStyle w:val="FootnoteReference"/>
          <w:rFonts w:ascii="Times New Roman" w:hAnsi="Times New Roman"/>
        </w:rPr>
        <w:footnoteReference w:id="2"/>
      </w:r>
      <w:bookmarkEnd w:id="0"/>
      <w:r w:rsidRPr="00376DE9">
        <w:rPr>
          <w:rFonts w:ascii="Times New Roman" w:hAnsi="Times New Roman"/>
        </w:rPr>
        <w:t xml:space="preserve"> and </w:t>
      </w:r>
      <w:r w:rsidRPr="00376DE9">
        <w:rPr>
          <w:rFonts w:ascii="Times New Roman" w:hAnsi="Times New Roman"/>
        </w:rPr>
        <w:t xml:space="preserve">are backed by criminal </w:t>
      </w:r>
      <w:r w:rsidRPr="00376DE9">
        <w:rPr>
          <w:rFonts w:ascii="Times New Roman" w:hAnsi="Times New Roman"/>
        </w:rPr>
        <w:t xml:space="preserve">sanctions </w:t>
      </w:r>
      <w:r w:rsidRPr="00376DE9">
        <w:rPr>
          <w:rFonts w:ascii="Times New Roman" w:hAnsi="Times New Roman"/>
        </w:rPr>
        <w:t>for non-compliance</w:t>
      </w:r>
      <w:r w:rsidRPr="00376DE9">
        <w:rPr>
          <w:rFonts w:ascii="Times New Roman" w:hAnsi="Times New Roman"/>
        </w:rPr>
        <w:t>.</w:t>
      </w:r>
      <w:r>
        <w:rPr>
          <w:rStyle w:val="FootnoteReference"/>
          <w:rFonts w:ascii="Times New Roman" w:hAnsi="Times New Roman"/>
        </w:rPr>
        <w:footnoteReference w:id="3"/>
      </w:r>
    </w:p>
    <w:p w:rsidR="006F19CF"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The substantive compliance of coronavirus restrictions with the ECHR, that is, whether </w:t>
      </w:r>
      <w:r w:rsidRPr="00376DE9">
        <w:rPr>
          <w:rFonts w:ascii="Times New Roman" w:hAnsi="Times New Roman"/>
        </w:rPr>
        <w:t>the interference with protected interests is justified in pursuit of the legitimate aim of protecting health is not in doubt.</w:t>
      </w:r>
      <w:r>
        <w:rPr>
          <w:rStyle w:val="FootnoteReference"/>
          <w:rFonts w:ascii="Times New Roman" w:hAnsi="Times New Roman"/>
        </w:rPr>
        <w:footnoteReference w:id="4"/>
      </w:r>
      <w:r w:rsidRPr="00376DE9">
        <w:rPr>
          <w:rFonts w:ascii="Times New Roman" w:hAnsi="Times New Roman"/>
        </w:rPr>
        <w:t xml:space="preserve"> However, we wish to raise concerns about </w:t>
      </w:r>
      <w:r w:rsidRPr="00376DE9">
        <w:rPr>
          <w:rFonts w:ascii="Times New Roman" w:hAnsi="Times New Roman"/>
        </w:rPr>
        <w:t>the government’s extensive use of regulations backed by criminal offences as part of the response to Covid-19 from the point of view of the principle of legality.</w:t>
      </w:r>
      <w:r>
        <w:rPr>
          <w:rStyle w:val="FootnoteReference"/>
          <w:rFonts w:ascii="Times New Roman" w:hAnsi="Times New Roman"/>
        </w:rPr>
        <w:footnoteReference w:id="5"/>
      </w:r>
      <w:r w:rsidRPr="00376DE9">
        <w:rPr>
          <w:rFonts w:ascii="Times New Roman" w:hAnsi="Times New Roman"/>
        </w:rPr>
        <w:t xml:space="preserve"> </w:t>
      </w:r>
    </w:p>
    <w:p w:rsidR="0050395B"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The case law on the principle of legality sets out three requirements: </w:t>
      </w:r>
      <w:r w:rsidRPr="00376DE9">
        <w:rPr>
          <w:rFonts w:ascii="Times New Roman" w:hAnsi="Times New Roman"/>
        </w:rPr>
        <w:t xml:space="preserve">a) </w:t>
      </w:r>
      <w:r w:rsidRPr="00376DE9">
        <w:rPr>
          <w:rFonts w:ascii="Times New Roman" w:hAnsi="Times New Roman"/>
        </w:rPr>
        <w:t>interference wit</w:t>
      </w:r>
      <w:r w:rsidRPr="00376DE9">
        <w:rPr>
          <w:rFonts w:ascii="Times New Roman" w:hAnsi="Times New Roman"/>
        </w:rPr>
        <w:t>h ECHR interests has a basis in domestic law</w:t>
      </w:r>
      <w:r w:rsidRPr="00376DE9">
        <w:rPr>
          <w:rFonts w:ascii="Times New Roman" w:hAnsi="Times New Roman"/>
        </w:rPr>
        <w:t>;</w:t>
      </w:r>
      <w:r w:rsidRPr="00376DE9">
        <w:rPr>
          <w:rFonts w:ascii="Times New Roman" w:hAnsi="Times New Roman"/>
        </w:rPr>
        <w:t xml:space="preserve"> </w:t>
      </w:r>
      <w:r w:rsidRPr="00376DE9">
        <w:rPr>
          <w:rFonts w:ascii="Times New Roman" w:hAnsi="Times New Roman"/>
        </w:rPr>
        <w:t xml:space="preserve">b) </w:t>
      </w:r>
      <w:r w:rsidRPr="00376DE9">
        <w:rPr>
          <w:rFonts w:ascii="Times New Roman" w:hAnsi="Times New Roman"/>
        </w:rPr>
        <w:t>the law is accessible and foreseeable</w:t>
      </w:r>
      <w:r w:rsidRPr="00376DE9">
        <w:rPr>
          <w:rFonts w:ascii="Times New Roman" w:hAnsi="Times New Roman"/>
        </w:rPr>
        <w:t>;</w:t>
      </w:r>
      <w:r w:rsidRPr="00376DE9">
        <w:rPr>
          <w:rFonts w:ascii="Times New Roman" w:hAnsi="Times New Roman"/>
        </w:rPr>
        <w:t xml:space="preserve"> and </w:t>
      </w:r>
      <w:r w:rsidRPr="00376DE9">
        <w:rPr>
          <w:rFonts w:ascii="Times New Roman" w:hAnsi="Times New Roman"/>
        </w:rPr>
        <w:t xml:space="preserve">c) </w:t>
      </w:r>
      <w:r w:rsidRPr="00376DE9">
        <w:rPr>
          <w:rFonts w:ascii="Times New Roman" w:hAnsi="Times New Roman"/>
        </w:rPr>
        <w:t xml:space="preserve">the law is applied in a way that is </w:t>
      </w:r>
      <w:r w:rsidRPr="00376DE9">
        <w:rPr>
          <w:rFonts w:ascii="Times New Roman" w:hAnsi="Times New Roman"/>
        </w:rPr>
        <w:t xml:space="preserve">not </w:t>
      </w:r>
      <w:r w:rsidRPr="00376DE9">
        <w:rPr>
          <w:rFonts w:ascii="Times New Roman" w:hAnsi="Times New Roman"/>
        </w:rPr>
        <w:t xml:space="preserve">arbitrary, </w:t>
      </w:r>
      <w:r w:rsidRPr="00376DE9">
        <w:rPr>
          <w:rFonts w:ascii="Times New Roman" w:hAnsi="Times New Roman"/>
        </w:rPr>
        <w:t>ie</w:t>
      </w:r>
      <w:r w:rsidRPr="00376DE9">
        <w:rPr>
          <w:rFonts w:ascii="Times New Roman" w:hAnsi="Times New Roman"/>
        </w:rPr>
        <w:t xml:space="preserve"> </w:t>
      </w:r>
      <w:r w:rsidRPr="00376DE9">
        <w:rPr>
          <w:rFonts w:ascii="Times New Roman" w:hAnsi="Times New Roman"/>
        </w:rPr>
        <w:t xml:space="preserve">not </w:t>
      </w:r>
      <w:r w:rsidRPr="00376DE9">
        <w:rPr>
          <w:rFonts w:ascii="Times New Roman" w:hAnsi="Times New Roman"/>
        </w:rPr>
        <w:t>resorted to in bad faith or applied disproportionately.</w:t>
      </w:r>
      <w:r>
        <w:rPr>
          <w:rStyle w:val="FootnoteReference"/>
          <w:rFonts w:ascii="Times New Roman" w:hAnsi="Times New Roman"/>
        </w:rPr>
        <w:footnoteReference w:id="6"/>
      </w:r>
      <w:r w:rsidRPr="00376DE9">
        <w:rPr>
          <w:rFonts w:ascii="Times New Roman" w:hAnsi="Times New Roman"/>
        </w:rPr>
        <w:t xml:space="preserve"> We have reason to worry about the satisfaction of all these criteria, to varying degrees.</w:t>
      </w:r>
    </w:p>
    <w:p w:rsidR="00CC0A90" w:rsidRPr="00376DE9" w:rsidP="00D40CA6">
      <w:pPr>
        <w:pStyle w:val="Body"/>
        <w:numPr>
          <w:ilvl w:val="0"/>
          <w:numId w:val="13"/>
        </w:numPr>
        <w:ind w:left="0" w:hanging="357"/>
        <w:rPr>
          <w:rFonts w:ascii="Times New Roman" w:eastAsia="Times New Roman" w:hAnsi="Times New Roman"/>
          <w:color w:val="000000" w:themeColor="text1"/>
          <w:lang w:eastAsia="en-GB"/>
        </w:rPr>
      </w:pPr>
      <w:r w:rsidRPr="00376DE9">
        <w:rPr>
          <w:rFonts w:ascii="Times New Roman" w:hAnsi="Times New Roman"/>
        </w:rPr>
        <w:t>On basis in domestic law, most of the offences can be found in the relevant coronavirus restrictions regulations or in the Coronavirus Act 2020. However, there has b</w:t>
      </w:r>
      <w:r w:rsidRPr="00376DE9">
        <w:rPr>
          <w:rFonts w:ascii="Times New Roman" w:hAnsi="Times New Roman"/>
        </w:rPr>
        <w:t>een at least one case of an individual being charged with a coronavirus-related criminal offence that does not exist.</w:t>
      </w:r>
      <w:r>
        <w:rPr>
          <w:rStyle w:val="FootnoteReference"/>
          <w:rFonts w:ascii="Times New Roman" w:hAnsi="Times New Roman"/>
        </w:rPr>
        <w:footnoteReference w:id="7"/>
      </w:r>
      <w:r w:rsidRPr="00376DE9">
        <w:rPr>
          <w:rFonts w:ascii="Times New Roman" w:hAnsi="Times New Roman"/>
        </w:rPr>
        <w:t xml:space="preserve"> Further, there is evidence of criminal enforcement of government coronavirus ‘guidance’, eg to ‘stay local’</w:t>
      </w:r>
      <w:r w:rsidRPr="00376DE9">
        <w:rPr>
          <w:rFonts w:ascii="Times New Roman" w:hAnsi="Times New Roman"/>
        </w:rPr>
        <w:t>,</w:t>
      </w:r>
      <w:r w:rsidRPr="00376DE9">
        <w:rPr>
          <w:rFonts w:ascii="Times New Roman" w:hAnsi="Times New Roman"/>
        </w:rPr>
        <w:t xml:space="preserve"> that does not have the qual</w:t>
      </w:r>
      <w:r w:rsidRPr="00376DE9">
        <w:rPr>
          <w:rFonts w:ascii="Times New Roman" w:hAnsi="Times New Roman"/>
        </w:rPr>
        <w:t>ity of law.</w:t>
      </w:r>
      <w:r>
        <w:rPr>
          <w:rStyle w:val="FootnoteReference"/>
          <w:rFonts w:ascii="Times New Roman" w:hAnsi="Times New Roman"/>
        </w:rPr>
        <w:footnoteReference w:id="8"/>
      </w:r>
      <w:r w:rsidRPr="00376DE9">
        <w:rPr>
          <w:rFonts w:ascii="Times New Roman" w:hAnsi="Times New Roman"/>
        </w:rPr>
        <w:t xml:space="preserve"> The issue is sufficiently serious for the CPS to have initiated ongoing review of all </w:t>
      </w:r>
      <w:r w:rsidRPr="00376DE9">
        <w:rPr>
          <w:rFonts w:ascii="Times New Roman" w:hAnsi="Times New Roman"/>
        </w:rPr>
        <w:t xml:space="preserve">finalised </w:t>
      </w:r>
      <w:r w:rsidRPr="00376DE9">
        <w:rPr>
          <w:rFonts w:ascii="Times New Roman" w:hAnsi="Times New Roman"/>
        </w:rPr>
        <w:t xml:space="preserve">coronavirus </w:t>
      </w:r>
      <w:r w:rsidRPr="00376DE9">
        <w:rPr>
          <w:rFonts w:ascii="Times New Roman" w:hAnsi="Times New Roman"/>
        </w:rPr>
        <w:t>cases</w:t>
      </w:r>
      <w:r w:rsidRPr="00376DE9">
        <w:rPr>
          <w:rFonts w:ascii="Times New Roman" w:hAnsi="Times New Roman"/>
        </w:rPr>
        <w:t>.</w:t>
      </w:r>
      <w:r>
        <w:rPr>
          <w:rStyle w:val="FootnoteReference"/>
          <w:rFonts w:ascii="Times New Roman" w:hAnsi="Times New Roman"/>
        </w:rPr>
        <w:footnoteReference w:id="9"/>
      </w:r>
      <w:r w:rsidRPr="00376DE9">
        <w:rPr>
          <w:rFonts w:ascii="Times New Roman" w:hAnsi="Times New Roman"/>
        </w:rPr>
        <w:t xml:space="preserve"> </w:t>
      </w:r>
      <w:r w:rsidRPr="00376DE9">
        <w:rPr>
          <w:rFonts w:ascii="Times New Roman" w:hAnsi="Times New Roman"/>
          <w:color w:val="000000" w:themeColor="text1"/>
        </w:rPr>
        <w:t>Their figures</w:t>
      </w:r>
      <w:r w:rsidRPr="00376DE9">
        <w:rPr>
          <w:rFonts w:ascii="Times New Roman" w:hAnsi="Times New Roman"/>
          <w:color w:val="000000" w:themeColor="text1"/>
        </w:rPr>
        <w:t xml:space="preserve"> </w:t>
      </w:r>
      <w:r w:rsidRPr="00376DE9">
        <w:rPr>
          <w:rFonts w:ascii="Times New Roman" w:hAnsi="Times New Roman"/>
          <w:color w:val="000000" w:themeColor="text1"/>
        </w:rPr>
        <w:t xml:space="preserve">show that, from March 2020 </w:t>
      </w:r>
      <w:r w:rsidRPr="00376DE9">
        <w:rPr>
          <w:rFonts w:ascii="Times New Roman" w:hAnsi="Times New Roman"/>
          <w:color w:val="000000" w:themeColor="text1"/>
        </w:rPr>
        <w:t xml:space="preserve">to </w:t>
      </w:r>
      <w:r w:rsidRPr="00376DE9">
        <w:rPr>
          <w:rFonts w:ascii="Times New Roman" w:hAnsi="Times New Roman"/>
          <w:color w:val="000000" w:themeColor="text1"/>
        </w:rPr>
        <w:t>February 2021, 16</w:t>
      </w:r>
      <w:r w:rsidRPr="00376DE9">
        <w:rPr>
          <w:rFonts w:ascii="Times New Roman" w:hAnsi="Times New Roman"/>
          <w:color w:val="000000" w:themeColor="text1"/>
        </w:rPr>
        <w:t xml:space="preserve"> per cent</w:t>
      </w:r>
      <w:r w:rsidRPr="00376DE9">
        <w:rPr>
          <w:rFonts w:ascii="Times New Roman" w:hAnsi="Times New Roman"/>
          <w:color w:val="000000" w:themeColor="text1"/>
        </w:rPr>
        <w:t xml:space="preserve"> of prosecutions under the </w:t>
      </w:r>
      <w:r w:rsidRPr="00376DE9">
        <w:rPr>
          <w:rFonts w:ascii="Times New Roman" w:hAnsi="Times New Roman"/>
          <w:color w:val="000000" w:themeColor="text1"/>
        </w:rPr>
        <w:t xml:space="preserve">various </w:t>
      </w:r>
      <w:r w:rsidRPr="00376DE9">
        <w:rPr>
          <w:rFonts w:ascii="Times New Roman" w:eastAsia="Times New Roman" w:hAnsi="Times New Roman"/>
          <w:color w:val="000000" w:themeColor="text1"/>
          <w:lang w:eastAsia="en-GB"/>
        </w:rPr>
        <w:t>Health Protection (C</w:t>
      </w:r>
      <w:r w:rsidRPr="00376DE9">
        <w:rPr>
          <w:rFonts w:ascii="Times New Roman" w:eastAsia="Times New Roman" w:hAnsi="Times New Roman"/>
          <w:color w:val="000000" w:themeColor="text1"/>
          <w:lang w:eastAsia="en-GB"/>
        </w:rPr>
        <w:t xml:space="preserve">oronavirus, Restrictions) Regulations </w:t>
      </w:r>
      <w:r w:rsidRPr="00376DE9">
        <w:rPr>
          <w:rFonts w:ascii="Times New Roman" w:hAnsi="Times New Roman"/>
          <w:color w:val="000000" w:themeColor="text1"/>
        </w:rPr>
        <w:t xml:space="preserve"> were incorrectly charged </w:t>
      </w:r>
      <w:r w:rsidRPr="00376DE9">
        <w:rPr>
          <w:rFonts w:ascii="Times New Roman" w:hAnsi="Times New Roman"/>
          <w:color w:val="000000" w:themeColor="text1"/>
        </w:rPr>
        <w:t>(total: 1,345; wrongly charged: 213)</w:t>
      </w:r>
      <w:r w:rsidRPr="00376DE9">
        <w:rPr>
          <w:rFonts w:ascii="Times New Roman" w:hAnsi="Times New Roman"/>
          <w:color w:val="000000" w:themeColor="text1"/>
        </w:rPr>
        <w:t xml:space="preserve"> </w:t>
      </w:r>
      <w:r w:rsidRPr="00376DE9">
        <w:rPr>
          <w:rFonts w:ascii="Times New Roman" w:hAnsi="Times New Roman"/>
          <w:color w:val="000000" w:themeColor="text1"/>
        </w:rPr>
        <w:t>and 100</w:t>
      </w:r>
      <w:r w:rsidRPr="00376DE9">
        <w:rPr>
          <w:rFonts w:ascii="Times New Roman" w:hAnsi="Times New Roman"/>
          <w:color w:val="000000" w:themeColor="text1"/>
        </w:rPr>
        <w:t xml:space="preserve"> per </w:t>
      </w:r>
      <w:r w:rsidRPr="00376DE9">
        <w:rPr>
          <w:rFonts w:ascii="Times New Roman" w:hAnsi="Times New Roman"/>
          <w:color w:val="000000" w:themeColor="text1"/>
        </w:rPr>
        <w:t>cent</w:t>
      </w:r>
      <w:r w:rsidRPr="00376DE9">
        <w:rPr>
          <w:rFonts w:ascii="Times New Roman" w:hAnsi="Times New Roman"/>
          <w:color w:val="000000" w:themeColor="text1"/>
        </w:rPr>
        <w:t xml:space="preserve"> of prosecutions under the Coronavirus Act 2020 (252 in total) </w:t>
      </w:r>
      <w:r w:rsidRPr="00376DE9">
        <w:rPr>
          <w:rFonts w:ascii="Times New Roman" w:hAnsi="Times New Roman"/>
          <w:color w:val="000000" w:themeColor="text1"/>
        </w:rPr>
        <w:t>have been incorrectly charged.</w:t>
      </w:r>
    </w:p>
    <w:p w:rsidR="00A07774" w:rsidRPr="00376DE9" w:rsidP="00290038">
      <w:pPr>
        <w:pStyle w:val="Body"/>
        <w:numPr>
          <w:ilvl w:val="0"/>
          <w:numId w:val="13"/>
        </w:numPr>
        <w:ind w:left="0" w:hanging="357"/>
        <w:rPr>
          <w:rFonts w:ascii="Times New Roman" w:hAnsi="Times New Roman"/>
        </w:rPr>
      </w:pPr>
      <w:r w:rsidRPr="00376DE9">
        <w:rPr>
          <w:rFonts w:ascii="Times New Roman" w:hAnsi="Times New Roman"/>
        </w:rPr>
        <w:t>A</w:t>
      </w:r>
      <w:r w:rsidRPr="00376DE9">
        <w:rPr>
          <w:rFonts w:ascii="Times New Roman" w:hAnsi="Times New Roman"/>
        </w:rPr>
        <w:t xml:space="preserve">ccessibility </w:t>
      </w:r>
      <w:r w:rsidRPr="00376DE9">
        <w:rPr>
          <w:rFonts w:ascii="Times New Roman" w:hAnsi="Times New Roman"/>
        </w:rPr>
        <w:t>has been described as ‘</w:t>
      </w:r>
      <w:r w:rsidRPr="00376DE9">
        <w:rPr>
          <w:rFonts w:ascii="Times New Roman" w:hAnsi="Times New Roman"/>
        </w:rPr>
        <w:t>the form</w:t>
      </w:r>
      <w:r w:rsidRPr="00376DE9">
        <w:rPr>
          <w:rFonts w:ascii="Times New Roman" w:hAnsi="Times New Roman"/>
        </w:rPr>
        <w:t>al or objective requirement that the law actually</w:t>
      </w:r>
      <w:r w:rsidRPr="00376DE9">
        <w:rPr>
          <w:rFonts w:ascii="Times New Roman" w:hAnsi="Times New Roman"/>
        </w:rPr>
        <w:t xml:space="preserve"> </w:t>
      </w:r>
      <w:r w:rsidRPr="00376DE9">
        <w:rPr>
          <w:rFonts w:ascii="Times New Roman" w:hAnsi="Times New Roman"/>
        </w:rPr>
        <w:t>exists and is publicly available to its subjects with a sufficient level of precision, in case</w:t>
      </w:r>
      <w:r w:rsidRPr="00376DE9">
        <w:rPr>
          <w:rFonts w:ascii="Times New Roman" w:hAnsi="Times New Roman"/>
        </w:rPr>
        <w:t xml:space="preserve"> </w:t>
      </w:r>
      <w:r w:rsidRPr="00376DE9">
        <w:rPr>
          <w:rFonts w:ascii="Times New Roman" w:hAnsi="Times New Roman"/>
        </w:rPr>
        <w:t>anyone intends to consult it</w:t>
      </w:r>
      <w:r w:rsidRPr="00376DE9">
        <w:rPr>
          <w:rFonts w:ascii="Times New Roman" w:hAnsi="Times New Roman"/>
        </w:rPr>
        <w:t>’, whereas ‘</w:t>
      </w:r>
      <w:r w:rsidRPr="00376DE9">
        <w:rPr>
          <w:rFonts w:ascii="Times New Roman" w:hAnsi="Times New Roman"/>
        </w:rPr>
        <w:t>foreseeability refers to the subjective ability</w:t>
      </w:r>
      <w:r w:rsidRPr="00376DE9">
        <w:rPr>
          <w:rFonts w:ascii="Times New Roman" w:hAnsi="Times New Roman"/>
        </w:rPr>
        <w:t xml:space="preserve"> </w:t>
      </w:r>
      <w:r w:rsidRPr="00376DE9">
        <w:rPr>
          <w:rFonts w:ascii="Times New Roman" w:hAnsi="Times New Roman"/>
        </w:rPr>
        <w:t>of the average person t</w:t>
      </w:r>
      <w:r w:rsidRPr="00376DE9">
        <w:rPr>
          <w:rFonts w:ascii="Times New Roman" w:hAnsi="Times New Roman"/>
        </w:rPr>
        <w:t>o predict, to a degree that is reasonable in the circumstances, the</w:t>
      </w:r>
      <w:r w:rsidRPr="00376DE9">
        <w:rPr>
          <w:rFonts w:ascii="Times New Roman" w:hAnsi="Times New Roman"/>
        </w:rPr>
        <w:t xml:space="preserve"> </w:t>
      </w:r>
      <w:r w:rsidRPr="00376DE9">
        <w:rPr>
          <w:rFonts w:ascii="Times New Roman" w:hAnsi="Times New Roman"/>
        </w:rPr>
        <w:t>consequences which a given action might entail</w:t>
      </w:r>
      <w:r w:rsidRPr="00376DE9">
        <w:rPr>
          <w:rFonts w:ascii="Times New Roman" w:hAnsi="Times New Roman"/>
        </w:rPr>
        <w:t>’.</w:t>
      </w:r>
      <w:r>
        <w:rPr>
          <w:rStyle w:val="FootnoteReference"/>
          <w:rFonts w:ascii="Times New Roman" w:hAnsi="Times New Roman"/>
        </w:rPr>
        <w:footnoteReference w:id="10"/>
      </w:r>
    </w:p>
    <w:p w:rsidR="00E86F1E"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On accessibility, both the Coronavirus Act 2020, Schedule 21, paragraph 20 and various iterations of the coronavirus </w:t>
      </w:r>
      <w:r w:rsidRPr="00376DE9">
        <w:rPr>
          <w:rFonts w:ascii="Times New Roman" w:hAnsi="Times New Roman"/>
        </w:rPr>
        <w:t>restrictions regulations give police constables, among others, the power to give ‘reasonable instructions’ for which a failure to comply is a criminal offence.</w:t>
      </w:r>
      <w:r>
        <w:rPr>
          <w:rStyle w:val="FootnoteReference"/>
          <w:rFonts w:ascii="Times New Roman" w:hAnsi="Times New Roman"/>
        </w:rPr>
        <w:footnoteReference w:id="11"/>
      </w:r>
      <w:r w:rsidRPr="00376DE9">
        <w:rPr>
          <w:rFonts w:ascii="Times New Roman" w:hAnsi="Times New Roman"/>
        </w:rPr>
        <w:t xml:space="preserve"> Our concern here is that the law is not specified with sufficient precision or fair notice to </w:t>
      </w:r>
      <w:r w:rsidRPr="00376DE9">
        <w:rPr>
          <w:rFonts w:ascii="Times New Roman" w:hAnsi="Times New Roman"/>
        </w:rPr>
        <w:t>satisfy the requirement of accessibility. Indeed, it has been said that these powers permit the police ‘essentially… to write the criminal law on the streets’.</w:t>
      </w:r>
      <w:r>
        <w:rPr>
          <w:rStyle w:val="FootnoteReference"/>
          <w:rFonts w:ascii="Times New Roman" w:hAnsi="Times New Roman"/>
        </w:rPr>
        <w:footnoteReference w:id="12"/>
      </w:r>
      <w:r w:rsidRPr="00376DE9">
        <w:rPr>
          <w:rFonts w:ascii="Times New Roman" w:hAnsi="Times New Roman"/>
        </w:rPr>
        <w:t xml:space="preserve"> In any event, this worry can be re-expressed as one of foreseeability</w:t>
      </w:r>
      <w:r w:rsidRPr="00376DE9">
        <w:rPr>
          <w:rFonts w:ascii="Times New Roman" w:hAnsi="Times New Roman"/>
        </w:rPr>
        <w:t xml:space="preserve"> or arbitrariness.</w:t>
      </w:r>
    </w:p>
    <w:p w:rsidR="003B4F73" w:rsidRPr="00376DE9" w:rsidP="00290038">
      <w:pPr>
        <w:pStyle w:val="Body"/>
        <w:numPr>
          <w:ilvl w:val="0"/>
          <w:numId w:val="13"/>
        </w:numPr>
        <w:ind w:left="0" w:hanging="357"/>
        <w:rPr>
          <w:rFonts w:ascii="Times New Roman" w:hAnsi="Times New Roman"/>
        </w:rPr>
      </w:pPr>
      <w:r w:rsidRPr="00376DE9">
        <w:rPr>
          <w:rFonts w:ascii="Times New Roman" w:hAnsi="Times New Roman"/>
        </w:rPr>
        <w:t>Anothe</w:t>
      </w:r>
      <w:r w:rsidRPr="00376DE9">
        <w:rPr>
          <w:rFonts w:ascii="Times New Roman" w:hAnsi="Times New Roman"/>
        </w:rPr>
        <w:t xml:space="preserve">r accessibility worry concerns the law </w:t>
      </w:r>
      <w:r w:rsidRPr="00376DE9">
        <w:rPr>
          <w:rFonts w:ascii="Times New Roman" w:hAnsi="Times New Roman"/>
        </w:rPr>
        <w:t>of</w:t>
      </w:r>
      <w:r w:rsidRPr="00376DE9">
        <w:rPr>
          <w:rFonts w:ascii="Times New Roman" w:hAnsi="Times New Roman"/>
        </w:rPr>
        <w:t xml:space="preserve"> </w:t>
      </w:r>
      <w:r w:rsidRPr="00376DE9">
        <w:rPr>
          <w:rFonts w:ascii="Times New Roman" w:hAnsi="Times New Roman"/>
        </w:rPr>
        <w:t xml:space="preserve">protest. Some iterations of the coronavirus restrictions regulations make no explicit provision </w:t>
      </w:r>
      <w:r w:rsidRPr="00376DE9">
        <w:rPr>
          <w:rFonts w:ascii="Times New Roman" w:hAnsi="Times New Roman"/>
        </w:rPr>
        <w:t xml:space="preserve">permitting </w:t>
      </w:r>
      <w:r w:rsidRPr="00376DE9">
        <w:rPr>
          <w:rFonts w:ascii="Times New Roman" w:hAnsi="Times New Roman"/>
        </w:rPr>
        <w:t>protest,</w:t>
      </w:r>
      <w:r>
        <w:rPr>
          <w:rStyle w:val="FootnoteReference"/>
          <w:rFonts w:ascii="Times New Roman" w:hAnsi="Times New Roman"/>
        </w:rPr>
        <w:footnoteReference w:id="13"/>
      </w:r>
      <w:r w:rsidRPr="00376DE9">
        <w:rPr>
          <w:rFonts w:ascii="Times New Roman" w:hAnsi="Times New Roman"/>
        </w:rPr>
        <w:t xml:space="preserve"> whereas others do.</w:t>
      </w:r>
      <w:r>
        <w:rPr>
          <w:rStyle w:val="FootnoteReference"/>
          <w:rFonts w:ascii="Times New Roman" w:hAnsi="Times New Roman"/>
        </w:rPr>
        <w:footnoteReference w:id="14"/>
      </w:r>
      <w:r w:rsidRPr="00376DE9">
        <w:rPr>
          <w:rFonts w:ascii="Times New Roman" w:hAnsi="Times New Roman"/>
        </w:rPr>
        <w:t xml:space="preserve"> </w:t>
      </w:r>
      <w:r w:rsidRPr="00376DE9">
        <w:rPr>
          <w:rFonts w:ascii="Times New Roman" w:hAnsi="Times New Roman"/>
        </w:rPr>
        <w:t>When protest has not been explicitly exempted from coronavirus restrictions</w:t>
      </w:r>
      <w:r w:rsidRPr="00376DE9">
        <w:rPr>
          <w:rFonts w:ascii="Times New Roman" w:hAnsi="Times New Roman"/>
        </w:rPr>
        <w:t xml:space="preserve">, this has led to considerable uncertainty as to whether protest is permitted. The legal position, which is that the coronavirus restrictions on protest must be read in accordance with the </w:t>
      </w:r>
      <w:r w:rsidRPr="00376DE9">
        <w:rPr>
          <w:rFonts w:ascii="Times New Roman" w:hAnsi="Times New Roman"/>
        </w:rPr>
        <w:t>Human Rights Act 1998</w:t>
      </w:r>
      <w:r w:rsidRPr="00376DE9">
        <w:rPr>
          <w:rFonts w:ascii="Times New Roman" w:hAnsi="Times New Roman"/>
        </w:rPr>
        <w:t xml:space="preserve"> (and as such protest may be lawful even if no</w:t>
      </w:r>
      <w:r w:rsidRPr="00376DE9">
        <w:rPr>
          <w:rFonts w:ascii="Times New Roman" w:hAnsi="Times New Roman"/>
        </w:rPr>
        <w:t>t exempted from restrictions under regulations) has only been clarified as of March 2021.</w:t>
      </w:r>
      <w:r>
        <w:rPr>
          <w:rStyle w:val="FootnoteReference"/>
          <w:rFonts w:ascii="Times New Roman" w:hAnsi="Times New Roman"/>
        </w:rPr>
        <w:footnoteReference w:id="15"/>
      </w:r>
    </w:p>
    <w:p w:rsidR="003B4F73" w:rsidRPr="00376DE9" w:rsidP="00290038">
      <w:pPr>
        <w:pStyle w:val="Body"/>
        <w:numPr>
          <w:ilvl w:val="0"/>
          <w:numId w:val="13"/>
        </w:numPr>
        <w:ind w:left="0" w:hanging="357"/>
        <w:rPr>
          <w:rFonts w:ascii="Times New Roman" w:hAnsi="Times New Roman"/>
        </w:rPr>
      </w:pPr>
      <w:r w:rsidRPr="00376DE9">
        <w:rPr>
          <w:rFonts w:ascii="Times New Roman" w:hAnsi="Times New Roman"/>
        </w:rPr>
        <w:t>On foreseeability,</w:t>
      </w:r>
      <w:r w:rsidRPr="00376DE9">
        <w:rPr>
          <w:rFonts w:ascii="Times New Roman" w:hAnsi="Times New Roman"/>
        </w:rPr>
        <w:t xml:space="preserve"> we suggest there are </w:t>
      </w:r>
      <w:r w:rsidRPr="00376DE9">
        <w:rPr>
          <w:rFonts w:ascii="Times New Roman" w:hAnsi="Times New Roman"/>
        </w:rPr>
        <w:t xml:space="preserve">three </w:t>
      </w:r>
      <w:r w:rsidRPr="00376DE9">
        <w:rPr>
          <w:rFonts w:ascii="Times New Roman" w:hAnsi="Times New Roman"/>
        </w:rPr>
        <w:t>principal issues: 1)</w:t>
      </w:r>
      <w:r w:rsidRPr="00376DE9">
        <w:rPr>
          <w:rFonts w:ascii="Times New Roman" w:hAnsi="Times New Roman"/>
        </w:rPr>
        <w:t xml:space="preserve"> the inconsistent practice of laying regulations that amend or revoke previous regulations </w:t>
      </w:r>
      <w:r w:rsidRPr="00376DE9">
        <w:rPr>
          <w:rFonts w:ascii="Times New Roman" w:hAnsi="Times New Roman"/>
        </w:rPr>
        <w:t xml:space="preserve">(often </w:t>
      </w:r>
      <w:r w:rsidRPr="00376DE9">
        <w:rPr>
          <w:rFonts w:ascii="Times New Roman" w:hAnsi="Times New Roman"/>
        </w:rPr>
        <w:t xml:space="preserve">in brief succession); </w:t>
      </w:r>
      <w:r w:rsidRPr="00376DE9">
        <w:rPr>
          <w:rFonts w:ascii="Times New Roman" w:hAnsi="Times New Roman"/>
        </w:rPr>
        <w:t>2) the use of geographical restrictions as well as ‘tiers’ and ‘steps’; 3</w:t>
      </w:r>
      <w:r w:rsidRPr="00376DE9">
        <w:rPr>
          <w:rFonts w:ascii="Times New Roman" w:hAnsi="Times New Roman"/>
        </w:rPr>
        <w:t>) the practice of issuing ‘guidance’ to supplement t</w:t>
      </w:r>
      <w:r w:rsidRPr="00376DE9">
        <w:rPr>
          <w:rFonts w:ascii="Times New Roman" w:hAnsi="Times New Roman"/>
        </w:rPr>
        <w:t>he</w:t>
      </w:r>
      <w:r w:rsidRPr="00376DE9">
        <w:rPr>
          <w:rFonts w:ascii="Times New Roman" w:hAnsi="Times New Roman"/>
        </w:rPr>
        <w:t xml:space="preserve"> law. These practices have </w:t>
      </w:r>
      <w:r w:rsidRPr="00376DE9">
        <w:rPr>
          <w:rFonts w:ascii="Times New Roman" w:hAnsi="Times New Roman"/>
        </w:rPr>
        <w:t xml:space="preserve">resulted in a very high degree of complexity </w:t>
      </w:r>
      <w:r w:rsidRPr="00376DE9">
        <w:rPr>
          <w:rFonts w:ascii="Times New Roman" w:hAnsi="Times New Roman"/>
        </w:rPr>
        <w:t xml:space="preserve">regarding </w:t>
      </w:r>
      <w:r w:rsidRPr="00376DE9">
        <w:rPr>
          <w:rFonts w:ascii="Times New Roman" w:hAnsi="Times New Roman"/>
        </w:rPr>
        <w:t>what the law requires,</w:t>
      </w:r>
      <w:bookmarkStart w:id="1" w:name="_Ref68626196"/>
      <w:r>
        <w:rPr>
          <w:rStyle w:val="FootnoteReference"/>
          <w:rFonts w:ascii="Times New Roman" w:hAnsi="Times New Roman"/>
        </w:rPr>
        <w:footnoteReference w:id="16"/>
      </w:r>
      <w:bookmarkEnd w:id="1"/>
      <w:r w:rsidRPr="00376DE9">
        <w:rPr>
          <w:rFonts w:ascii="Times New Roman" w:hAnsi="Times New Roman"/>
        </w:rPr>
        <w:t xml:space="preserve"> </w:t>
      </w:r>
      <w:r w:rsidRPr="00376DE9">
        <w:rPr>
          <w:rFonts w:ascii="Times New Roman" w:hAnsi="Times New Roman"/>
        </w:rPr>
        <w:t xml:space="preserve">such that individuals may </w:t>
      </w:r>
      <w:r w:rsidRPr="00376DE9">
        <w:rPr>
          <w:rFonts w:ascii="Times New Roman" w:hAnsi="Times New Roman"/>
        </w:rPr>
        <w:t xml:space="preserve">find it very difficult to </w:t>
      </w:r>
      <w:r w:rsidRPr="00376DE9">
        <w:rPr>
          <w:rFonts w:ascii="Times New Roman" w:hAnsi="Times New Roman"/>
        </w:rPr>
        <w:t>gauge the consequences of their conduct (even with legal advice) for the purposes of compliance with the coronavirus restrictions.</w:t>
      </w:r>
      <w:r w:rsidRPr="00376DE9">
        <w:rPr>
          <w:rFonts w:ascii="Times New Roman" w:hAnsi="Times New Roman"/>
        </w:rPr>
        <w:t xml:space="preserve"> </w:t>
      </w:r>
      <w:r w:rsidRPr="00376DE9">
        <w:rPr>
          <w:rFonts w:ascii="Times New Roman" w:hAnsi="Times New Roman"/>
        </w:rPr>
        <w:t>Research has demonstrated that public understanding of the coronavirus re</w:t>
      </w:r>
      <w:r w:rsidRPr="00376DE9">
        <w:rPr>
          <w:rFonts w:ascii="Times New Roman" w:hAnsi="Times New Roman"/>
        </w:rPr>
        <w:t xml:space="preserve">strictions has </w:t>
      </w:r>
      <w:r w:rsidRPr="00376DE9">
        <w:rPr>
          <w:rFonts w:ascii="Times New Roman" w:hAnsi="Times New Roman"/>
        </w:rPr>
        <w:t xml:space="preserve">been </w:t>
      </w:r>
      <w:r w:rsidRPr="00376DE9">
        <w:rPr>
          <w:rFonts w:ascii="Times New Roman" w:hAnsi="Times New Roman"/>
        </w:rPr>
        <w:t>consistently very poor</w:t>
      </w:r>
      <w:r w:rsidRPr="00376DE9">
        <w:rPr>
          <w:rFonts w:ascii="Times New Roman" w:hAnsi="Times New Roman"/>
        </w:rPr>
        <w:t>.</w:t>
      </w:r>
      <w:r>
        <w:rPr>
          <w:rStyle w:val="FootnoteReference"/>
          <w:rFonts w:ascii="Times New Roman" w:hAnsi="Times New Roman"/>
        </w:rPr>
        <w:footnoteReference w:id="17"/>
      </w:r>
      <w:r w:rsidRPr="00376DE9">
        <w:rPr>
          <w:rFonts w:ascii="Times New Roman" w:hAnsi="Times New Roman"/>
        </w:rPr>
        <w:t xml:space="preserve"> </w:t>
      </w:r>
      <w:r w:rsidRPr="00376DE9">
        <w:rPr>
          <w:rFonts w:ascii="Times New Roman" w:hAnsi="Times New Roman"/>
        </w:rPr>
        <w:t>It has been remarked in Parliament that very few people possess full understanding of the law.</w:t>
      </w:r>
      <w:r>
        <w:rPr>
          <w:rStyle w:val="FootnoteReference"/>
          <w:rFonts w:ascii="Times New Roman" w:hAnsi="Times New Roman"/>
        </w:rPr>
        <w:footnoteReference w:id="18"/>
      </w:r>
      <w:r w:rsidRPr="00376DE9">
        <w:rPr>
          <w:rFonts w:ascii="Times New Roman" w:hAnsi="Times New Roman"/>
        </w:rPr>
        <w:t xml:space="preserve"> Even police</w:t>
      </w:r>
      <w:r w:rsidRPr="00376DE9">
        <w:rPr>
          <w:rFonts w:ascii="Times New Roman" w:hAnsi="Times New Roman"/>
        </w:rPr>
        <w:t xml:space="preserve"> officers have reported a lack of confidence in knowing what </w:t>
      </w:r>
      <w:r w:rsidRPr="00376DE9">
        <w:rPr>
          <w:rFonts w:ascii="Times New Roman" w:hAnsi="Times New Roman"/>
        </w:rPr>
        <w:t xml:space="preserve">coronavirus </w:t>
      </w:r>
      <w:r w:rsidRPr="00376DE9">
        <w:rPr>
          <w:rFonts w:ascii="Times New Roman" w:hAnsi="Times New Roman"/>
        </w:rPr>
        <w:t>regulations require.</w:t>
      </w:r>
      <w:r>
        <w:rPr>
          <w:rStyle w:val="FootnoteReference"/>
          <w:rFonts w:ascii="Times New Roman" w:hAnsi="Times New Roman"/>
        </w:rPr>
        <w:footnoteReference w:id="19"/>
      </w:r>
      <w:r w:rsidRPr="00376DE9">
        <w:rPr>
          <w:rFonts w:ascii="Times New Roman" w:hAnsi="Times New Roman"/>
        </w:rPr>
        <w:t xml:space="preserve"> Differ</w:t>
      </w:r>
      <w:r w:rsidRPr="00376DE9">
        <w:rPr>
          <w:rFonts w:ascii="Times New Roman" w:hAnsi="Times New Roman"/>
        </w:rPr>
        <w:t>ential enforcement of the coronavirus restrictions by police in light of the uncertainty of what constitutes law or guidance may further contribute to a lack of foreseeability in respect of the restrictions.</w:t>
      </w:r>
    </w:p>
    <w:p w:rsidR="00797420"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A further foreseeability concern is </w:t>
      </w:r>
      <w:r w:rsidRPr="00376DE9">
        <w:rPr>
          <w:rFonts w:ascii="Times New Roman" w:hAnsi="Times New Roman"/>
        </w:rPr>
        <w:t>the habitual</w:t>
      </w:r>
      <w:r w:rsidRPr="00376DE9">
        <w:rPr>
          <w:rFonts w:ascii="Times New Roman" w:hAnsi="Times New Roman"/>
        </w:rPr>
        <w:t xml:space="preserve"> practice of government to use the affirmative procedure for laying regulations before Parliament,</w:t>
      </w:r>
      <w:r>
        <w:rPr>
          <w:rStyle w:val="FootnoteReference"/>
          <w:rFonts w:ascii="Times New Roman" w:hAnsi="Times New Roman"/>
        </w:rPr>
        <w:footnoteReference w:id="20"/>
      </w:r>
      <w:r w:rsidRPr="00376DE9">
        <w:rPr>
          <w:rFonts w:ascii="Times New Roman" w:hAnsi="Times New Roman"/>
        </w:rPr>
        <w:t xml:space="preserve"> often </w:t>
      </w:r>
      <w:r w:rsidRPr="00376DE9">
        <w:rPr>
          <w:rFonts w:ascii="Times New Roman" w:hAnsi="Times New Roman"/>
        </w:rPr>
        <w:t xml:space="preserve">no more than a </w:t>
      </w:r>
      <w:r w:rsidRPr="00376DE9">
        <w:rPr>
          <w:rFonts w:ascii="Times New Roman" w:hAnsi="Times New Roman"/>
        </w:rPr>
        <w:t xml:space="preserve">day </w:t>
      </w:r>
      <w:r w:rsidRPr="00376DE9">
        <w:rPr>
          <w:rFonts w:ascii="Times New Roman" w:hAnsi="Times New Roman"/>
        </w:rPr>
        <w:t xml:space="preserve">or two </w:t>
      </w:r>
      <w:r w:rsidRPr="00376DE9">
        <w:rPr>
          <w:rFonts w:ascii="Times New Roman" w:hAnsi="Times New Roman"/>
        </w:rPr>
        <w:t>before the regulations come into force.</w:t>
      </w:r>
      <w:r>
        <w:rPr>
          <w:rStyle w:val="FootnoteReference"/>
          <w:rFonts w:ascii="Times New Roman" w:hAnsi="Times New Roman"/>
        </w:rPr>
        <w:footnoteReference w:id="21"/>
      </w:r>
      <w:r w:rsidRPr="00376DE9">
        <w:rPr>
          <w:rFonts w:ascii="Times New Roman" w:hAnsi="Times New Roman"/>
        </w:rPr>
        <w:t xml:space="preserve"> The worry here is that the government has not given individuals fair opportunity to process the law in advance of it coming into force.</w:t>
      </w:r>
    </w:p>
    <w:p w:rsidR="004001E6"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On arbitrariness, our concern relates to the degree of discretion possessed by the police in enforcing </w:t>
      </w:r>
      <w:r w:rsidRPr="00376DE9">
        <w:rPr>
          <w:rFonts w:ascii="Times New Roman" w:hAnsi="Times New Roman"/>
        </w:rPr>
        <w:t>coronavirus restrictions and the overrepresentation of minority ethnic groups among those subject to penalties.</w:t>
      </w:r>
      <w:r>
        <w:rPr>
          <w:rStyle w:val="FootnoteReference"/>
          <w:rFonts w:ascii="Times New Roman" w:hAnsi="Times New Roman"/>
        </w:rPr>
        <w:footnoteReference w:id="22"/>
      </w:r>
      <w:r w:rsidRPr="00376DE9">
        <w:rPr>
          <w:rFonts w:ascii="Times New Roman" w:hAnsi="Times New Roman"/>
        </w:rPr>
        <w:t xml:space="preserve"> Several occasions of abuse of power have been reported in the media.</w:t>
      </w:r>
      <w:r>
        <w:rPr>
          <w:rStyle w:val="FootnoteReference"/>
          <w:rFonts w:ascii="Times New Roman" w:hAnsi="Times New Roman"/>
        </w:rPr>
        <w:footnoteReference w:id="23"/>
      </w:r>
      <w:r w:rsidRPr="00376DE9">
        <w:rPr>
          <w:rFonts w:ascii="Times New Roman" w:hAnsi="Times New Roman"/>
        </w:rPr>
        <w:t xml:space="preserve"> Our concern is that these </w:t>
      </w:r>
      <w:r w:rsidRPr="00376DE9">
        <w:rPr>
          <w:rFonts w:ascii="Times New Roman" w:hAnsi="Times New Roman"/>
        </w:rPr>
        <w:t>abuses</w:t>
      </w:r>
      <w:r w:rsidRPr="00376DE9">
        <w:rPr>
          <w:rFonts w:ascii="Times New Roman" w:hAnsi="Times New Roman"/>
        </w:rPr>
        <w:t xml:space="preserve"> have been made possible </w:t>
      </w:r>
      <w:r w:rsidRPr="00376DE9">
        <w:rPr>
          <w:rFonts w:ascii="Times New Roman" w:hAnsi="Times New Roman"/>
        </w:rPr>
        <w:t xml:space="preserve">partly </w:t>
      </w:r>
      <w:r w:rsidRPr="00376DE9">
        <w:rPr>
          <w:rFonts w:ascii="Times New Roman" w:hAnsi="Times New Roman"/>
        </w:rPr>
        <w:t xml:space="preserve">due to </w:t>
      </w:r>
      <w:r w:rsidRPr="00376DE9">
        <w:rPr>
          <w:rFonts w:ascii="Times New Roman" w:hAnsi="Times New Roman"/>
        </w:rPr>
        <w:t>the</w:t>
      </w:r>
      <w:r w:rsidRPr="00376DE9">
        <w:rPr>
          <w:rFonts w:ascii="Times New Roman" w:hAnsi="Times New Roman"/>
        </w:rPr>
        <w:t xml:space="preserve"> deliberately imprecise definition of police powers in relation to the pandemic. </w:t>
      </w:r>
    </w:p>
    <w:p w:rsidR="00192AAA"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To summarise the above, our view is that the legal regime for coronavirus restrictions gives rise to significant concern in respect of compliance with the requirements of </w:t>
      </w:r>
      <w:r w:rsidRPr="00376DE9">
        <w:rPr>
          <w:rFonts w:ascii="Times New Roman" w:hAnsi="Times New Roman"/>
        </w:rPr>
        <w:t>the ECHR principle of legality.</w:t>
      </w:r>
    </w:p>
    <w:p w:rsidR="00153C13" w:rsidRPr="00376DE9" w:rsidP="00290038">
      <w:pPr>
        <w:pStyle w:val="Heading1"/>
        <w:numPr>
          <w:ilvl w:val="0"/>
          <w:numId w:val="0"/>
        </w:numPr>
        <w:rPr>
          <w:rFonts w:ascii="Times New Roman" w:hAnsi="Times New Roman" w:cs="Times New Roman"/>
        </w:rPr>
      </w:pPr>
      <w:r w:rsidRPr="00376DE9">
        <w:rPr>
          <w:rFonts w:ascii="Times New Roman" w:hAnsi="Times New Roman" w:cs="Times New Roman"/>
        </w:rPr>
        <w:t xml:space="preserve">Covid-19 </w:t>
      </w:r>
      <w:r w:rsidRPr="00376DE9">
        <w:rPr>
          <w:rFonts w:ascii="Times New Roman" w:hAnsi="Times New Roman" w:cs="Times New Roman"/>
        </w:rPr>
        <w:t>criminalisation,</w:t>
      </w:r>
      <w:r w:rsidRPr="00376DE9">
        <w:rPr>
          <w:rFonts w:ascii="Times New Roman" w:hAnsi="Times New Roman" w:cs="Times New Roman"/>
        </w:rPr>
        <w:t xml:space="preserve"> legitimacy</w:t>
      </w:r>
      <w:r w:rsidRPr="00376DE9">
        <w:rPr>
          <w:rFonts w:ascii="Times New Roman" w:hAnsi="Times New Roman" w:cs="Times New Roman"/>
        </w:rPr>
        <w:t>,</w:t>
      </w:r>
      <w:r w:rsidRPr="00376DE9">
        <w:rPr>
          <w:rFonts w:ascii="Times New Roman" w:hAnsi="Times New Roman" w:cs="Times New Roman"/>
        </w:rPr>
        <w:t xml:space="preserve"> and public trust</w:t>
      </w:r>
    </w:p>
    <w:p w:rsidR="00153C13" w:rsidRPr="00376DE9" w:rsidP="00290038">
      <w:pPr>
        <w:pStyle w:val="Body"/>
        <w:numPr>
          <w:ilvl w:val="0"/>
          <w:numId w:val="13"/>
        </w:numPr>
        <w:ind w:left="0" w:hanging="357"/>
        <w:rPr>
          <w:rFonts w:ascii="Times New Roman" w:hAnsi="Times New Roman"/>
        </w:rPr>
      </w:pPr>
      <w:r w:rsidRPr="00376DE9">
        <w:rPr>
          <w:rFonts w:ascii="Times New Roman" w:hAnsi="Times New Roman"/>
        </w:rPr>
        <w:t>It is a principle of criminalisation that new offences ought to be considered and justified in public fora, principally Parliament. This is to ensure that criminalisatio</w:t>
      </w:r>
      <w:r w:rsidRPr="00376DE9">
        <w:rPr>
          <w:rFonts w:ascii="Times New Roman" w:hAnsi="Times New Roman"/>
        </w:rPr>
        <w:t>n has democratic legitimacy, offences have public notice (</w:t>
      </w:r>
      <w:r w:rsidRPr="00376DE9">
        <w:rPr>
          <w:rFonts w:ascii="Times New Roman" w:hAnsi="Times New Roman"/>
        </w:rPr>
        <w:t xml:space="preserve">ideally </w:t>
      </w:r>
      <w:r w:rsidRPr="00376DE9">
        <w:rPr>
          <w:rFonts w:ascii="Times New Roman" w:hAnsi="Times New Roman"/>
          <w:i/>
          <w:iCs/>
        </w:rPr>
        <w:t>acceptance</w:t>
      </w:r>
      <w:r w:rsidRPr="00376DE9">
        <w:rPr>
          <w:rFonts w:ascii="Times New Roman" w:hAnsi="Times New Roman"/>
        </w:rPr>
        <w:t xml:space="preserve">), and that criminalisation does not undermine public trust in the </w:t>
      </w:r>
      <w:r w:rsidRPr="00376DE9">
        <w:rPr>
          <w:rFonts w:ascii="Times New Roman" w:hAnsi="Times New Roman"/>
        </w:rPr>
        <w:t xml:space="preserve">legal </w:t>
      </w:r>
      <w:r w:rsidRPr="00376DE9">
        <w:rPr>
          <w:rFonts w:ascii="Times New Roman" w:hAnsi="Times New Roman"/>
        </w:rPr>
        <w:t>framework for assuring social and public order.</w:t>
      </w:r>
    </w:p>
    <w:p w:rsidR="00C04E66" w:rsidRPr="00376DE9" w:rsidP="00290038">
      <w:pPr>
        <w:pStyle w:val="Body"/>
        <w:numPr>
          <w:ilvl w:val="0"/>
          <w:numId w:val="13"/>
        </w:numPr>
        <w:ind w:left="0" w:hanging="357"/>
        <w:rPr>
          <w:rFonts w:ascii="Times New Roman" w:hAnsi="Times New Roman"/>
        </w:rPr>
      </w:pPr>
      <w:r w:rsidRPr="00376DE9">
        <w:rPr>
          <w:rFonts w:ascii="Times New Roman" w:hAnsi="Times New Roman"/>
        </w:rPr>
        <w:t>As noted above, the government has made extensive use of th</w:t>
      </w:r>
      <w:r w:rsidRPr="00376DE9">
        <w:rPr>
          <w:rFonts w:ascii="Times New Roman" w:hAnsi="Times New Roman"/>
        </w:rPr>
        <w:t xml:space="preserve">e </w:t>
      </w:r>
      <w:r w:rsidRPr="00376DE9">
        <w:rPr>
          <w:rFonts w:ascii="Times New Roman" w:hAnsi="Times New Roman"/>
        </w:rPr>
        <w:t xml:space="preserve">made </w:t>
      </w:r>
      <w:r w:rsidRPr="00376DE9">
        <w:rPr>
          <w:rFonts w:ascii="Times New Roman" w:hAnsi="Times New Roman"/>
        </w:rPr>
        <w:t>affirmative procedure provided for by section 45R of the Public Health (Control of Disease) Act 1984. Section 45R of the Act enables a person making, among other things, domestic health protection regulations</w:t>
      </w:r>
      <w:r w:rsidRPr="00376DE9">
        <w:rPr>
          <w:rFonts w:ascii="Times New Roman" w:hAnsi="Times New Roman"/>
        </w:rPr>
        <w:t xml:space="preserve"> (includ</w:t>
      </w:r>
      <w:r w:rsidRPr="00376DE9">
        <w:rPr>
          <w:rFonts w:ascii="Times New Roman" w:hAnsi="Times New Roman"/>
        </w:rPr>
        <w:t>ing</w:t>
      </w:r>
      <w:r w:rsidRPr="00376DE9">
        <w:rPr>
          <w:rFonts w:ascii="Times New Roman" w:hAnsi="Times New Roman"/>
        </w:rPr>
        <w:t xml:space="preserve"> those that prescribe</w:t>
      </w:r>
      <w:r w:rsidRPr="00376DE9">
        <w:rPr>
          <w:rFonts w:ascii="Times New Roman" w:hAnsi="Times New Roman"/>
        </w:rPr>
        <w:t xml:space="preserve"> criminal</w:t>
      </w:r>
      <w:r w:rsidRPr="00376DE9">
        <w:rPr>
          <w:rFonts w:ascii="Times New Roman" w:hAnsi="Times New Roman"/>
        </w:rPr>
        <w:t xml:space="preserve"> offences)</w:t>
      </w:r>
      <w:r w:rsidRPr="00376DE9">
        <w:rPr>
          <w:rFonts w:ascii="Times New Roman" w:hAnsi="Times New Roman"/>
        </w:rPr>
        <w:t xml:space="preserve"> to bring a statutory instrument into force without first laying a draft </w:t>
      </w:r>
      <w:r w:rsidRPr="00376DE9">
        <w:rPr>
          <w:rFonts w:ascii="Times New Roman" w:hAnsi="Times New Roman"/>
        </w:rPr>
        <w:t xml:space="preserve">(subsequently approved by resolution) before each House of Parliament. Regulations made </w:t>
      </w:r>
      <w:r w:rsidRPr="00376DE9">
        <w:rPr>
          <w:rFonts w:ascii="Times New Roman" w:hAnsi="Times New Roman"/>
        </w:rPr>
        <w:t xml:space="preserve">under </w:t>
      </w:r>
      <w:r w:rsidRPr="00376DE9">
        <w:rPr>
          <w:rFonts w:ascii="Times New Roman" w:hAnsi="Times New Roman"/>
        </w:rPr>
        <w:t xml:space="preserve">this emergency procedure </w:t>
      </w:r>
      <w:r w:rsidRPr="00376DE9">
        <w:rPr>
          <w:rFonts w:ascii="Times New Roman" w:hAnsi="Times New Roman"/>
        </w:rPr>
        <w:t>required a</w:t>
      </w:r>
      <w:r w:rsidRPr="00376DE9">
        <w:rPr>
          <w:rFonts w:ascii="Times New Roman" w:hAnsi="Times New Roman"/>
        </w:rPr>
        <w:t xml:space="preserve"> made</w:t>
      </w:r>
      <w:r w:rsidRPr="00376DE9">
        <w:rPr>
          <w:rFonts w:ascii="Times New Roman" w:hAnsi="Times New Roman"/>
        </w:rPr>
        <w:t xml:space="preserve"> affirmative resolution of each House o</w:t>
      </w:r>
      <w:r w:rsidRPr="00376DE9">
        <w:rPr>
          <w:rFonts w:ascii="Times New Roman" w:hAnsi="Times New Roman"/>
        </w:rPr>
        <w:t>f Parliament within 28 days.</w:t>
      </w:r>
      <w:r>
        <w:rPr>
          <w:rStyle w:val="FootnoteReference"/>
          <w:rFonts w:ascii="Times New Roman" w:hAnsi="Times New Roman"/>
        </w:rPr>
        <w:footnoteReference w:id="24"/>
      </w:r>
      <w:r w:rsidRPr="00376DE9">
        <w:rPr>
          <w:rFonts w:ascii="Times New Roman" w:hAnsi="Times New Roman"/>
        </w:rPr>
        <w:t xml:space="preserve"> The Hansard Society note that, as of 6 April 2021, 84 coronavirus-related statutory instruments have been made under these powers.</w:t>
      </w:r>
      <w:r>
        <w:rPr>
          <w:rStyle w:val="FootnoteReference"/>
          <w:rFonts w:ascii="Times New Roman" w:hAnsi="Times New Roman"/>
        </w:rPr>
        <w:footnoteReference w:id="25"/>
      </w:r>
      <w:r w:rsidRPr="00376DE9">
        <w:rPr>
          <w:rFonts w:ascii="Times New Roman" w:hAnsi="Times New Roman"/>
        </w:rPr>
        <w:t xml:space="preserve"> </w:t>
      </w:r>
    </w:p>
    <w:p w:rsidR="00AE4850"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In making extensive use of the </w:t>
      </w:r>
      <w:r w:rsidRPr="00376DE9">
        <w:rPr>
          <w:rFonts w:ascii="Times New Roman" w:hAnsi="Times New Roman"/>
        </w:rPr>
        <w:t xml:space="preserve">made </w:t>
      </w:r>
      <w:r w:rsidRPr="00376DE9">
        <w:rPr>
          <w:rFonts w:ascii="Times New Roman" w:hAnsi="Times New Roman"/>
        </w:rPr>
        <w:t>affirmative procedure, the government has bypassed ex a</w:t>
      </w:r>
      <w:r w:rsidRPr="00376DE9">
        <w:rPr>
          <w:rFonts w:ascii="Times New Roman" w:hAnsi="Times New Roman"/>
        </w:rPr>
        <w:t>nte scrutiny of new criminal offences. As Adam Wagner observes, ‘o</w:t>
      </w:r>
      <w:r w:rsidRPr="00376DE9">
        <w:rPr>
          <w:rFonts w:ascii="Times New Roman" w:hAnsi="Times New Roman"/>
        </w:rPr>
        <w:t>nly twice—with the November lockdown and the principle of establishing the “three tiers”—has parliament voted before new rules came into effect, and in both these cases it was only one day b</w:t>
      </w:r>
      <w:r w:rsidRPr="00376DE9">
        <w:rPr>
          <w:rFonts w:ascii="Times New Roman" w:hAnsi="Times New Roman"/>
        </w:rPr>
        <w:t>efore</w:t>
      </w:r>
      <w:r w:rsidRPr="00376DE9">
        <w:rPr>
          <w:rFonts w:ascii="Times New Roman" w:hAnsi="Times New Roman"/>
        </w:rPr>
        <w:t>’</w:t>
      </w:r>
      <w:r w:rsidRPr="00376DE9">
        <w:rPr>
          <w:rFonts w:ascii="Times New Roman" w:hAnsi="Times New Roman"/>
        </w:rPr>
        <w:t>.</w:t>
      </w:r>
      <w:r>
        <w:rPr>
          <w:rStyle w:val="FootnoteReference"/>
          <w:rFonts w:ascii="Times New Roman" w:hAnsi="Times New Roman"/>
        </w:rPr>
        <w:footnoteReference w:id="26"/>
      </w:r>
      <w:r w:rsidRPr="00376DE9">
        <w:rPr>
          <w:rFonts w:ascii="Times New Roman" w:hAnsi="Times New Roman"/>
        </w:rPr>
        <w:t xml:space="preserve"> The practice of criminalisation </w:t>
      </w:r>
      <w:r w:rsidRPr="00376DE9">
        <w:rPr>
          <w:rFonts w:ascii="Times New Roman" w:hAnsi="Times New Roman"/>
        </w:rPr>
        <w:t xml:space="preserve">by statutory instrument </w:t>
      </w:r>
      <w:r w:rsidRPr="00376DE9">
        <w:rPr>
          <w:rFonts w:ascii="Times New Roman" w:hAnsi="Times New Roman"/>
        </w:rPr>
        <w:t>raises important matters of principle and practice.</w:t>
      </w:r>
    </w:p>
    <w:p w:rsidR="0033799D" w:rsidRPr="00376DE9" w:rsidP="00290038">
      <w:pPr>
        <w:pStyle w:val="Body"/>
        <w:numPr>
          <w:ilvl w:val="0"/>
          <w:numId w:val="13"/>
        </w:numPr>
        <w:ind w:left="0" w:hanging="357"/>
        <w:rPr>
          <w:rFonts w:ascii="Times New Roman" w:hAnsi="Times New Roman"/>
        </w:rPr>
      </w:pPr>
      <w:r w:rsidRPr="00376DE9">
        <w:rPr>
          <w:rFonts w:ascii="Times New Roman" w:hAnsi="Times New Roman"/>
        </w:rPr>
        <w:t>In respect of principle, while ministers may claim the authority to act on a democratic mandate, it is nevertheless necessary that discussion of criminalisation by elected representatives (or parliamentarians generally) takes place. The function of such di</w:t>
      </w:r>
      <w:r w:rsidRPr="00376DE9">
        <w:rPr>
          <w:rFonts w:ascii="Times New Roman" w:hAnsi="Times New Roman"/>
        </w:rPr>
        <w:t xml:space="preserve">scussion is to provide a public justification for criminalisation—the reasons why new criminal offences of a certain nature must be created. This </w:t>
      </w:r>
      <w:r w:rsidRPr="00376DE9">
        <w:rPr>
          <w:rFonts w:ascii="Times New Roman" w:hAnsi="Times New Roman"/>
        </w:rPr>
        <w:t>is</w:t>
      </w:r>
      <w:r w:rsidRPr="00376DE9">
        <w:rPr>
          <w:rFonts w:ascii="Times New Roman" w:hAnsi="Times New Roman"/>
        </w:rPr>
        <w:t xml:space="preserve"> a constitutional good</w:t>
      </w:r>
      <w:r w:rsidRPr="00376DE9">
        <w:rPr>
          <w:rFonts w:ascii="Times New Roman" w:hAnsi="Times New Roman"/>
        </w:rPr>
        <w:t>, independent of the outcome of such discussions</w:t>
      </w:r>
      <w:r w:rsidRPr="00376DE9">
        <w:rPr>
          <w:rFonts w:ascii="Times New Roman" w:hAnsi="Times New Roman"/>
        </w:rPr>
        <w:t xml:space="preserve">. </w:t>
      </w:r>
      <w:r w:rsidRPr="00376DE9">
        <w:rPr>
          <w:rFonts w:ascii="Times New Roman" w:hAnsi="Times New Roman"/>
        </w:rPr>
        <w:t>It provides legitimacy to criminalis</w:t>
      </w:r>
      <w:r w:rsidRPr="00376DE9">
        <w:rPr>
          <w:rFonts w:ascii="Times New Roman" w:hAnsi="Times New Roman"/>
        </w:rPr>
        <w:t xml:space="preserve">ation. </w:t>
      </w:r>
      <w:r w:rsidRPr="00376DE9">
        <w:rPr>
          <w:rFonts w:ascii="Times New Roman" w:hAnsi="Times New Roman"/>
        </w:rPr>
        <w:t xml:space="preserve">The need for </w:t>
      </w:r>
      <w:r w:rsidRPr="00376DE9">
        <w:rPr>
          <w:rFonts w:ascii="Times New Roman" w:hAnsi="Times New Roman"/>
        </w:rPr>
        <w:t>public justification</w:t>
      </w:r>
      <w:r w:rsidRPr="00376DE9">
        <w:rPr>
          <w:rFonts w:ascii="Times New Roman" w:hAnsi="Times New Roman"/>
        </w:rPr>
        <w:t xml:space="preserve"> </w:t>
      </w:r>
      <w:r w:rsidRPr="00376DE9">
        <w:rPr>
          <w:rFonts w:ascii="Times New Roman" w:hAnsi="Times New Roman"/>
        </w:rPr>
        <w:t>is all the more pressing when widespread curtailment of civil liberties is at stake</w:t>
      </w:r>
      <w:r w:rsidRPr="00376DE9">
        <w:rPr>
          <w:rFonts w:ascii="Times New Roman" w:hAnsi="Times New Roman"/>
        </w:rPr>
        <w:t>.</w:t>
      </w:r>
      <w:r w:rsidRPr="00376DE9">
        <w:rPr>
          <w:rFonts w:ascii="Times New Roman" w:hAnsi="Times New Roman"/>
        </w:rPr>
        <w:t xml:space="preserve"> </w:t>
      </w:r>
    </w:p>
    <w:p w:rsidR="00C32B9A" w:rsidRPr="00376DE9" w:rsidP="00290038">
      <w:pPr>
        <w:pStyle w:val="Body"/>
        <w:numPr>
          <w:ilvl w:val="0"/>
          <w:numId w:val="13"/>
        </w:numPr>
        <w:ind w:left="0" w:hanging="357"/>
        <w:rPr>
          <w:rFonts w:ascii="Times New Roman" w:hAnsi="Times New Roman"/>
        </w:rPr>
      </w:pPr>
      <w:r w:rsidRPr="00376DE9">
        <w:rPr>
          <w:rFonts w:ascii="Times New Roman" w:hAnsi="Times New Roman"/>
        </w:rPr>
        <w:t>In respect of practice, parliamentary discussion of criminalisation may improve public understanding and acceptance of new offenc</w:t>
      </w:r>
      <w:r w:rsidRPr="00376DE9">
        <w:rPr>
          <w:rFonts w:ascii="Times New Roman" w:hAnsi="Times New Roman"/>
        </w:rPr>
        <w:t>es.</w:t>
      </w:r>
      <w:r w:rsidRPr="00376DE9">
        <w:rPr>
          <w:rFonts w:ascii="Times New Roman" w:hAnsi="Times New Roman"/>
        </w:rPr>
        <w:t xml:space="preserve"> And parliamentary discussion may provide an opportunity for the public to react and make known their views on the acceptable bounds of criminalisation.</w:t>
      </w:r>
      <w:r>
        <w:rPr>
          <w:rStyle w:val="FootnoteReference"/>
          <w:rFonts w:ascii="Times New Roman" w:hAnsi="Times New Roman"/>
        </w:rPr>
        <w:footnoteReference w:id="27"/>
      </w:r>
      <w:r w:rsidRPr="00376DE9">
        <w:rPr>
          <w:rFonts w:ascii="Times New Roman" w:hAnsi="Times New Roman"/>
        </w:rPr>
        <w:t xml:space="preserve"> Criminalisation without public justification may corrode public trust, with two important implicat</w:t>
      </w:r>
      <w:r w:rsidRPr="00376DE9">
        <w:rPr>
          <w:rFonts w:ascii="Times New Roman" w:hAnsi="Times New Roman"/>
        </w:rPr>
        <w:t xml:space="preserve">ions. </w:t>
      </w:r>
      <w:r w:rsidRPr="00376DE9">
        <w:rPr>
          <w:rFonts w:ascii="Times New Roman" w:hAnsi="Times New Roman"/>
        </w:rPr>
        <w:t>First, w</w:t>
      </w:r>
      <w:r w:rsidRPr="00376DE9">
        <w:rPr>
          <w:rFonts w:ascii="Times New Roman" w:hAnsi="Times New Roman"/>
        </w:rPr>
        <w:t>ithout trust</w:t>
      </w:r>
      <w:r w:rsidRPr="00376DE9">
        <w:rPr>
          <w:rFonts w:ascii="Times New Roman" w:hAnsi="Times New Roman"/>
        </w:rPr>
        <w:t xml:space="preserve"> in the purpose </w:t>
      </w:r>
      <w:r w:rsidRPr="00376DE9">
        <w:rPr>
          <w:rFonts w:ascii="Times New Roman" w:hAnsi="Times New Roman"/>
        </w:rPr>
        <w:t>behind criminalisation</w:t>
      </w:r>
      <w:r w:rsidRPr="00376DE9">
        <w:rPr>
          <w:rFonts w:ascii="Times New Roman" w:hAnsi="Times New Roman"/>
        </w:rPr>
        <w:t xml:space="preserve">, </w:t>
      </w:r>
      <w:r w:rsidRPr="00376DE9">
        <w:rPr>
          <w:rFonts w:ascii="Times New Roman" w:hAnsi="Times New Roman"/>
        </w:rPr>
        <w:t xml:space="preserve">compliance may become simply a matter of avoiding punishment; this may lead to </w:t>
      </w:r>
      <w:r w:rsidRPr="00376DE9">
        <w:rPr>
          <w:rFonts w:ascii="Times New Roman" w:hAnsi="Times New Roman"/>
        </w:rPr>
        <w:t xml:space="preserve">systematic violation of the law when the risk of detection is low. Second, </w:t>
      </w:r>
      <w:r w:rsidRPr="00376DE9">
        <w:rPr>
          <w:rFonts w:ascii="Times New Roman" w:hAnsi="Times New Roman"/>
        </w:rPr>
        <w:t xml:space="preserve">criminalisation </w:t>
      </w:r>
      <w:r w:rsidRPr="00376DE9">
        <w:rPr>
          <w:rFonts w:ascii="Times New Roman" w:hAnsi="Times New Roman"/>
        </w:rPr>
        <w:t>contribute</w:t>
      </w:r>
      <w:r w:rsidRPr="00376DE9">
        <w:rPr>
          <w:rFonts w:ascii="Times New Roman" w:hAnsi="Times New Roman"/>
        </w:rPr>
        <w:t>s</w:t>
      </w:r>
      <w:r w:rsidRPr="00376DE9">
        <w:rPr>
          <w:rFonts w:ascii="Times New Roman" w:hAnsi="Times New Roman"/>
        </w:rPr>
        <w:t xml:space="preserve"> to socia</w:t>
      </w:r>
      <w:r w:rsidRPr="00376DE9">
        <w:rPr>
          <w:rFonts w:ascii="Times New Roman" w:hAnsi="Times New Roman"/>
        </w:rPr>
        <w:t xml:space="preserve">l and public order </w:t>
      </w:r>
      <w:r w:rsidRPr="00376DE9">
        <w:rPr>
          <w:rFonts w:ascii="Times New Roman" w:hAnsi="Times New Roman"/>
        </w:rPr>
        <w:t>beyond</w:t>
      </w:r>
      <w:r w:rsidRPr="00376DE9">
        <w:rPr>
          <w:rFonts w:ascii="Times New Roman" w:hAnsi="Times New Roman"/>
        </w:rPr>
        <w:t xml:space="preserve"> the deterrence of harmful conduct</w:t>
      </w:r>
      <w:r w:rsidRPr="00376DE9">
        <w:rPr>
          <w:rFonts w:ascii="Times New Roman" w:hAnsi="Times New Roman"/>
        </w:rPr>
        <w:t>, by reassuring the public that their interests are being protected</w:t>
      </w:r>
      <w:r w:rsidRPr="00376DE9">
        <w:rPr>
          <w:rFonts w:ascii="Times New Roman" w:hAnsi="Times New Roman"/>
        </w:rPr>
        <w:t>. If the message behind criminalisation is unclear or insufficiently justified, this may erode public trust both in criminal offen</w:t>
      </w:r>
      <w:r w:rsidRPr="00376DE9">
        <w:rPr>
          <w:rFonts w:ascii="Times New Roman" w:hAnsi="Times New Roman"/>
        </w:rPr>
        <w:t xml:space="preserve">ces and in the broader framework of social and public order. </w:t>
      </w:r>
      <w:r w:rsidRPr="00376DE9">
        <w:rPr>
          <w:rFonts w:ascii="Times New Roman" w:hAnsi="Times New Roman"/>
        </w:rPr>
        <w:t>In respect of coronavirus criminalisation</w:t>
      </w:r>
      <w:r w:rsidRPr="00376DE9">
        <w:rPr>
          <w:rFonts w:ascii="Times New Roman" w:hAnsi="Times New Roman"/>
        </w:rPr>
        <w:t>,</w:t>
      </w:r>
      <w:r w:rsidRPr="00376DE9">
        <w:rPr>
          <w:rFonts w:ascii="Times New Roman" w:hAnsi="Times New Roman"/>
        </w:rPr>
        <w:t xml:space="preserve"> the worry is that </w:t>
      </w:r>
      <w:r w:rsidRPr="00376DE9">
        <w:rPr>
          <w:rFonts w:ascii="Times New Roman" w:hAnsi="Times New Roman"/>
        </w:rPr>
        <w:t>lack of trust in the enforcement of regulations may compromise public trust in the overall handling of the pandemic. This may hinder b</w:t>
      </w:r>
      <w:r w:rsidRPr="00376DE9">
        <w:rPr>
          <w:rFonts w:ascii="Times New Roman" w:hAnsi="Times New Roman"/>
        </w:rPr>
        <w:t>roader efforts in relation to the pandemic, such as confidence in the vaccination programme, particularly by those populations who are disproportionally affected by criminalisation in this area, such as minority ethnic groups.</w:t>
      </w:r>
      <w:r>
        <w:rPr>
          <w:rStyle w:val="FootnoteReference"/>
          <w:rFonts w:ascii="Times New Roman" w:hAnsi="Times New Roman"/>
        </w:rPr>
        <w:footnoteReference w:id="28"/>
      </w:r>
    </w:p>
    <w:p w:rsidR="00F32DE0" w:rsidRPr="00376DE9" w:rsidP="00290038">
      <w:pPr>
        <w:pStyle w:val="Body"/>
        <w:numPr>
          <w:ilvl w:val="0"/>
          <w:numId w:val="13"/>
        </w:numPr>
        <w:ind w:left="0" w:hanging="357"/>
        <w:rPr>
          <w:rFonts w:ascii="Times New Roman" w:hAnsi="Times New Roman"/>
        </w:rPr>
      </w:pPr>
      <w:r w:rsidRPr="00376DE9">
        <w:rPr>
          <w:rFonts w:ascii="Times New Roman" w:hAnsi="Times New Roman"/>
        </w:rPr>
        <w:t>In summary, the government’</w:t>
      </w:r>
      <w:r w:rsidRPr="00376DE9">
        <w:rPr>
          <w:rFonts w:ascii="Times New Roman" w:hAnsi="Times New Roman"/>
        </w:rPr>
        <w:t xml:space="preserve">s extensive use of criminalisation through the </w:t>
      </w:r>
      <w:r w:rsidRPr="00376DE9">
        <w:rPr>
          <w:rFonts w:ascii="Times New Roman" w:hAnsi="Times New Roman"/>
        </w:rPr>
        <w:t>made affirmative procedure has deprived coronavirus restrictions of democratic legitimacy and may have reduced public understanding, acceptance, and trust in the legal response to Covid-19.</w:t>
      </w:r>
    </w:p>
    <w:p w:rsidR="000543DA" w:rsidRPr="00376DE9" w:rsidP="00290038">
      <w:pPr>
        <w:pStyle w:val="Heading1"/>
        <w:numPr>
          <w:ilvl w:val="0"/>
          <w:numId w:val="0"/>
        </w:numPr>
        <w:rPr>
          <w:rFonts w:ascii="Times New Roman" w:hAnsi="Times New Roman" w:cs="Times New Roman"/>
        </w:rPr>
      </w:pPr>
      <w:r w:rsidRPr="00376DE9">
        <w:rPr>
          <w:rFonts w:ascii="Times New Roman" w:hAnsi="Times New Roman" w:cs="Times New Roman"/>
        </w:rPr>
        <w:t>Criminalisation and</w:t>
      </w:r>
      <w:r w:rsidRPr="00376DE9">
        <w:rPr>
          <w:rFonts w:ascii="Times New Roman" w:hAnsi="Times New Roman" w:cs="Times New Roman"/>
        </w:rPr>
        <w:t xml:space="preserve"> public health</w:t>
      </w:r>
    </w:p>
    <w:p w:rsidR="00934B72" w:rsidRPr="00376DE9" w:rsidP="00290038">
      <w:pPr>
        <w:pStyle w:val="Body"/>
        <w:numPr>
          <w:ilvl w:val="0"/>
          <w:numId w:val="13"/>
        </w:numPr>
        <w:ind w:left="0" w:hanging="357"/>
        <w:rPr>
          <w:rFonts w:ascii="Times New Roman" w:hAnsi="Times New Roman"/>
        </w:rPr>
      </w:pPr>
      <w:r w:rsidRPr="00376DE9">
        <w:rPr>
          <w:rFonts w:ascii="Times New Roman" w:hAnsi="Times New Roman"/>
        </w:rPr>
        <w:t>Part 2A of the Public Health (Control of Disease) Act 1984 allows for, among other things, the imposition of restrictions via regulations on ‘persons, things or premises’ in the event of public health emergencies such as pandemic disease.</w:t>
      </w:r>
      <w:r>
        <w:rPr>
          <w:rStyle w:val="FootnoteReference"/>
          <w:rFonts w:ascii="Times New Roman" w:hAnsi="Times New Roman"/>
        </w:rPr>
        <w:footnoteReference w:id="29"/>
      </w:r>
      <w:r w:rsidRPr="00376DE9">
        <w:rPr>
          <w:rFonts w:ascii="Times New Roman" w:hAnsi="Times New Roman"/>
        </w:rPr>
        <w:t xml:space="preserve"> </w:t>
      </w:r>
      <w:r w:rsidRPr="00376DE9">
        <w:rPr>
          <w:rFonts w:ascii="Times New Roman" w:hAnsi="Times New Roman"/>
        </w:rPr>
        <w:t xml:space="preserve">The mode of regulation adopted by the government in response to Covid-19 has consisted in issuing regulations backed by criminal law sanctions. This restrictions plus criminal offences model </w:t>
      </w:r>
      <w:r w:rsidRPr="00376DE9">
        <w:rPr>
          <w:rFonts w:ascii="Times New Roman" w:hAnsi="Times New Roman"/>
        </w:rPr>
        <w:t xml:space="preserve">was </w:t>
      </w:r>
      <w:r w:rsidRPr="00376DE9">
        <w:rPr>
          <w:rFonts w:ascii="Times New Roman" w:hAnsi="Times New Roman"/>
        </w:rPr>
        <w:t>replicated in Schedule 21 of the Coronavirus Act 2020 in rela</w:t>
      </w:r>
      <w:r w:rsidRPr="00376DE9">
        <w:rPr>
          <w:rFonts w:ascii="Times New Roman" w:hAnsi="Times New Roman"/>
        </w:rPr>
        <w:t>tion to ‘potentially infectious persons’.</w:t>
      </w:r>
    </w:p>
    <w:p w:rsidR="000666B7" w:rsidRPr="00376DE9" w:rsidP="00290038">
      <w:pPr>
        <w:pStyle w:val="Body"/>
        <w:numPr>
          <w:ilvl w:val="0"/>
          <w:numId w:val="13"/>
        </w:numPr>
        <w:ind w:left="0" w:hanging="357"/>
        <w:rPr>
          <w:rFonts w:ascii="Times New Roman" w:hAnsi="Times New Roman"/>
        </w:rPr>
      </w:pPr>
      <w:r w:rsidRPr="00376DE9">
        <w:rPr>
          <w:rFonts w:ascii="Times New Roman" w:hAnsi="Times New Roman"/>
        </w:rPr>
        <w:t>We are mindful that Part 2A of the Public Health (Control of Disease) Act 1984 was enacted in part to provide a framework for responding to the threat of new respiratory diseases, including SARS (another coronaviru</w:t>
      </w:r>
      <w:r w:rsidRPr="00376DE9">
        <w:rPr>
          <w:rFonts w:ascii="Times New Roman" w:hAnsi="Times New Roman"/>
        </w:rPr>
        <w:t>s)</w:t>
      </w:r>
      <w:r w:rsidRPr="00376DE9">
        <w:rPr>
          <w:rFonts w:ascii="Times New Roman" w:hAnsi="Times New Roman"/>
        </w:rPr>
        <w:t>.</w:t>
      </w:r>
      <w:r>
        <w:rPr>
          <w:rStyle w:val="FootnoteReference"/>
          <w:rFonts w:ascii="Times New Roman" w:hAnsi="Times New Roman"/>
        </w:rPr>
        <w:footnoteReference w:id="30"/>
      </w:r>
      <w:r w:rsidRPr="00376DE9">
        <w:rPr>
          <w:rFonts w:ascii="Times New Roman" w:hAnsi="Times New Roman"/>
        </w:rPr>
        <w:t xml:space="preserve"> We also note that once the government had belatedly</w:t>
      </w:r>
      <w:r w:rsidRPr="00376DE9">
        <w:rPr>
          <w:rFonts w:ascii="Times New Roman" w:hAnsi="Times New Roman"/>
        </w:rPr>
        <w:t xml:space="preserve"> </w:t>
      </w:r>
      <w:r w:rsidRPr="00376DE9">
        <w:rPr>
          <w:rFonts w:ascii="Times New Roman" w:hAnsi="Times New Roman"/>
        </w:rPr>
        <w:t>identified the threat posed by Covid-19, urgent measures had become necessary. However, the experience of Covid-19</w:t>
      </w:r>
      <w:r w:rsidRPr="00376DE9">
        <w:rPr>
          <w:rFonts w:ascii="Times New Roman" w:hAnsi="Times New Roman"/>
        </w:rPr>
        <w:t xml:space="preserve"> </w:t>
      </w:r>
      <w:r w:rsidRPr="00376DE9">
        <w:rPr>
          <w:rFonts w:ascii="Times New Roman" w:hAnsi="Times New Roman"/>
        </w:rPr>
        <w:t xml:space="preserve">invites </w:t>
      </w:r>
      <w:r w:rsidRPr="00376DE9">
        <w:rPr>
          <w:rFonts w:ascii="Times New Roman" w:hAnsi="Times New Roman"/>
        </w:rPr>
        <w:t xml:space="preserve">us to consider whether </w:t>
      </w:r>
      <w:r w:rsidRPr="00376DE9">
        <w:rPr>
          <w:rFonts w:ascii="Times New Roman" w:hAnsi="Times New Roman"/>
        </w:rPr>
        <w:t xml:space="preserve">extensive use of the criminal </w:t>
      </w:r>
      <w:r w:rsidRPr="00376DE9">
        <w:rPr>
          <w:rFonts w:ascii="Times New Roman" w:hAnsi="Times New Roman"/>
        </w:rPr>
        <w:t xml:space="preserve">law </w:t>
      </w:r>
      <w:r w:rsidRPr="00376DE9">
        <w:rPr>
          <w:rFonts w:ascii="Times New Roman" w:hAnsi="Times New Roman"/>
        </w:rPr>
        <w:t xml:space="preserve">in support of public health </w:t>
      </w:r>
      <w:r w:rsidRPr="00376DE9">
        <w:rPr>
          <w:rFonts w:ascii="Times New Roman" w:hAnsi="Times New Roman"/>
        </w:rPr>
        <w:t xml:space="preserve">restrictions </w:t>
      </w:r>
      <w:r w:rsidRPr="00376DE9">
        <w:rPr>
          <w:rFonts w:ascii="Times New Roman" w:hAnsi="Times New Roman"/>
        </w:rPr>
        <w:t>is the best approach available</w:t>
      </w:r>
      <w:r w:rsidRPr="00376DE9">
        <w:rPr>
          <w:rFonts w:ascii="Times New Roman" w:hAnsi="Times New Roman"/>
        </w:rPr>
        <w:t xml:space="preserve">, especially when </w:t>
      </w:r>
      <w:r w:rsidRPr="00376DE9">
        <w:rPr>
          <w:rFonts w:ascii="Times New Roman" w:hAnsi="Times New Roman"/>
        </w:rPr>
        <w:t xml:space="preserve">measures </w:t>
      </w:r>
      <w:r w:rsidRPr="00376DE9">
        <w:rPr>
          <w:rFonts w:ascii="Times New Roman" w:hAnsi="Times New Roman"/>
        </w:rPr>
        <w:t>are wide-ranging, and a high degree of enduring public compliance and acceptance is required.</w:t>
      </w:r>
    </w:p>
    <w:p w:rsidR="00754644"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A number of concerns about </w:t>
      </w:r>
      <w:r w:rsidRPr="00376DE9">
        <w:rPr>
          <w:rFonts w:ascii="Times New Roman" w:hAnsi="Times New Roman"/>
        </w:rPr>
        <w:t>extensive criminalisation in public h</w:t>
      </w:r>
      <w:r w:rsidRPr="00376DE9">
        <w:rPr>
          <w:rFonts w:ascii="Times New Roman" w:hAnsi="Times New Roman"/>
        </w:rPr>
        <w:t xml:space="preserve">ealth </w:t>
      </w:r>
      <w:r w:rsidRPr="00376DE9">
        <w:rPr>
          <w:rFonts w:ascii="Times New Roman" w:hAnsi="Times New Roman"/>
        </w:rPr>
        <w:t xml:space="preserve">arise. First, </w:t>
      </w:r>
      <w:r w:rsidRPr="00376DE9">
        <w:rPr>
          <w:rFonts w:ascii="Times New Roman" w:hAnsi="Times New Roman"/>
        </w:rPr>
        <w:t xml:space="preserve">analogous </w:t>
      </w:r>
      <w:r w:rsidRPr="00376DE9">
        <w:rPr>
          <w:rFonts w:ascii="Times New Roman" w:hAnsi="Times New Roman"/>
        </w:rPr>
        <w:t xml:space="preserve">to other contexts in which preventive criminalisation is employed, we might doubt whether criminalisation actively contributes to </w:t>
      </w:r>
      <w:r w:rsidRPr="00376DE9">
        <w:rPr>
          <w:rFonts w:ascii="Times New Roman" w:hAnsi="Times New Roman"/>
        </w:rPr>
        <w:t>public health protection</w:t>
      </w:r>
      <w:r w:rsidRPr="00376DE9">
        <w:rPr>
          <w:rFonts w:ascii="Times New Roman" w:hAnsi="Times New Roman"/>
        </w:rPr>
        <w:t>.</w:t>
      </w:r>
      <w:r>
        <w:rPr>
          <w:rStyle w:val="FootnoteReference"/>
          <w:rFonts w:ascii="Times New Roman" w:hAnsi="Times New Roman"/>
        </w:rPr>
        <w:footnoteReference w:id="31"/>
      </w:r>
      <w:r w:rsidRPr="00376DE9">
        <w:rPr>
          <w:rFonts w:ascii="Times New Roman" w:hAnsi="Times New Roman"/>
        </w:rPr>
        <w:t xml:space="preserve"> </w:t>
      </w:r>
      <w:r w:rsidRPr="00376DE9">
        <w:rPr>
          <w:rFonts w:ascii="Times New Roman" w:hAnsi="Times New Roman"/>
        </w:rPr>
        <w:t xml:space="preserve">The Telephone Crime Survey of England &amp; Wales covering the lockdown </w:t>
      </w:r>
      <w:r w:rsidRPr="00376DE9">
        <w:rPr>
          <w:rFonts w:ascii="Times New Roman" w:hAnsi="Times New Roman"/>
        </w:rPr>
        <w:t>period April</w:t>
      </w:r>
      <w:r w:rsidRPr="00376DE9">
        <w:rPr>
          <w:rFonts w:ascii="Times New Roman" w:hAnsi="Times New Roman"/>
        </w:rPr>
        <w:t>–</w:t>
      </w:r>
      <w:r w:rsidRPr="00376DE9">
        <w:rPr>
          <w:rFonts w:ascii="Times New Roman" w:hAnsi="Times New Roman"/>
        </w:rPr>
        <w:t xml:space="preserve">May 2020 </w:t>
      </w:r>
      <w:r w:rsidRPr="00376DE9">
        <w:rPr>
          <w:rFonts w:ascii="Times New Roman" w:hAnsi="Times New Roman"/>
        </w:rPr>
        <w:t xml:space="preserve">found that </w:t>
      </w:r>
      <w:r w:rsidRPr="00376DE9">
        <w:rPr>
          <w:rFonts w:ascii="Times New Roman" w:hAnsi="Times New Roman"/>
        </w:rPr>
        <w:t>51</w:t>
      </w:r>
      <w:r w:rsidRPr="00376DE9">
        <w:rPr>
          <w:rFonts w:ascii="Times New Roman" w:hAnsi="Times New Roman"/>
        </w:rPr>
        <w:t xml:space="preserve"> per cent </w:t>
      </w:r>
      <w:r w:rsidRPr="00376DE9">
        <w:rPr>
          <w:rFonts w:ascii="Times New Roman" w:hAnsi="Times New Roman"/>
        </w:rPr>
        <w:t xml:space="preserve">of adults interviewed had </w:t>
      </w:r>
      <w:r w:rsidRPr="00376DE9">
        <w:rPr>
          <w:rFonts w:ascii="Times New Roman" w:hAnsi="Times New Roman"/>
        </w:rPr>
        <w:t xml:space="preserve">observed </w:t>
      </w:r>
      <w:r w:rsidRPr="00376DE9">
        <w:rPr>
          <w:rFonts w:ascii="Times New Roman" w:hAnsi="Times New Roman"/>
        </w:rPr>
        <w:t xml:space="preserve">breaches </w:t>
      </w:r>
      <w:r w:rsidRPr="00376DE9">
        <w:rPr>
          <w:rFonts w:ascii="Times New Roman" w:hAnsi="Times New Roman"/>
        </w:rPr>
        <w:t>of corona</w:t>
      </w:r>
      <w:r w:rsidRPr="00376DE9">
        <w:rPr>
          <w:rFonts w:ascii="Times New Roman" w:hAnsi="Times New Roman"/>
        </w:rPr>
        <w:t xml:space="preserve">virus </w:t>
      </w:r>
      <w:r w:rsidRPr="00376DE9">
        <w:rPr>
          <w:rFonts w:ascii="Times New Roman" w:hAnsi="Times New Roman"/>
        </w:rPr>
        <w:t xml:space="preserve">restrictions in their local area since the start of the Covid-19 </w:t>
      </w:r>
      <w:r w:rsidRPr="00376DE9">
        <w:rPr>
          <w:rFonts w:ascii="Times New Roman" w:hAnsi="Times New Roman"/>
        </w:rPr>
        <w:t>pandemic</w:t>
      </w:r>
      <w:r w:rsidRPr="00376DE9">
        <w:rPr>
          <w:rFonts w:ascii="Times New Roman" w:hAnsi="Times New Roman"/>
        </w:rPr>
        <w:t>. However,</w:t>
      </w:r>
      <w:r w:rsidRPr="00376DE9">
        <w:rPr>
          <w:rFonts w:ascii="Times New Roman" w:hAnsi="Times New Roman"/>
          <w:b/>
          <w:bCs/>
        </w:rPr>
        <w:t xml:space="preserve"> </w:t>
      </w:r>
      <w:r w:rsidRPr="00376DE9">
        <w:rPr>
          <w:rFonts w:ascii="Times New Roman" w:hAnsi="Times New Roman"/>
        </w:rPr>
        <w:t>only 7</w:t>
      </w:r>
      <w:r w:rsidRPr="00376DE9">
        <w:rPr>
          <w:rFonts w:ascii="Times New Roman" w:hAnsi="Times New Roman"/>
        </w:rPr>
        <w:t xml:space="preserve"> per cent </w:t>
      </w:r>
      <w:r w:rsidRPr="00376DE9">
        <w:rPr>
          <w:rFonts w:ascii="Times New Roman" w:hAnsi="Times New Roman"/>
        </w:rPr>
        <w:t xml:space="preserve">of these </w:t>
      </w:r>
      <w:r w:rsidRPr="00376DE9">
        <w:rPr>
          <w:rFonts w:ascii="Times New Roman" w:hAnsi="Times New Roman"/>
        </w:rPr>
        <w:t xml:space="preserve">interviewees </w:t>
      </w:r>
      <w:r w:rsidRPr="00376DE9">
        <w:rPr>
          <w:rFonts w:ascii="Times New Roman" w:hAnsi="Times New Roman"/>
        </w:rPr>
        <w:t>reported the breach to the pol</w:t>
      </w:r>
      <w:r w:rsidRPr="00376DE9">
        <w:rPr>
          <w:rFonts w:ascii="Times New Roman" w:hAnsi="Times New Roman"/>
        </w:rPr>
        <w:t>ice</w:t>
      </w:r>
      <w:r w:rsidRPr="00376DE9">
        <w:rPr>
          <w:rFonts w:ascii="Times New Roman" w:hAnsi="Times New Roman"/>
        </w:rPr>
        <w:t>.</w:t>
      </w:r>
      <w:r w:rsidRPr="00376DE9">
        <w:rPr>
          <w:rFonts w:ascii="Times New Roman" w:hAnsi="Times New Roman"/>
        </w:rPr>
        <w:t xml:space="preserve"> </w:t>
      </w:r>
      <w:r w:rsidRPr="00376DE9">
        <w:rPr>
          <w:rFonts w:ascii="Times New Roman" w:hAnsi="Times New Roman"/>
        </w:rPr>
        <w:t>A</w:t>
      </w:r>
      <w:r w:rsidRPr="00376DE9">
        <w:rPr>
          <w:rFonts w:ascii="Times New Roman" w:hAnsi="Times New Roman"/>
        </w:rPr>
        <w:t xml:space="preserve"> substantial number </w:t>
      </w:r>
      <w:r w:rsidRPr="00376DE9">
        <w:rPr>
          <w:rFonts w:ascii="Times New Roman" w:hAnsi="Times New Roman"/>
        </w:rPr>
        <w:t>(</w:t>
      </w:r>
      <w:r w:rsidRPr="00376DE9">
        <w:rPr>
          <w:rFonts w:ascii="Times New Roman" w:hAnsi="Times New Roman"/>
        </w:rPr>
        <w:t>36</w:t>
      </w:r>
      <w:r w:rsidRPr="00376DE9">
        <w:rPr>
          <w:rFonts w:ascii="Times New Roman" w:hAnsi="Times New Roman"/>
        </w:rPr>
        <w:t xml:space="preserve"> per cent</w:t>
      </w:r>
      <w:r w:rsidRPr="00376DE9">
        <w:rPr>
          <w:rFonts w:ascii="Times New Roman" w:hAnsi="Times New Roman"/>
        </w:rPr>
        <w:t>) explain</w:t>
      </w:r>
      <w:r w:rsidRPr="00376DE9">
        <w:rPr>
          <w:rFonts w:ascii="Times New Roman" w:hAnsi="Times New Roman"/>
        </w:rPr>
        <w:t>ed</w:t>
      </w:r>
      <w:r w:rsidRPr="00376DE9">
        <w:rPr>
          <w:rFonts w:ascii="Times New Roman" w:hAnsi="Times New Roman"/>
        </w:rPr>
        <w:t xml:space="preserve"> </w:t>
      </w:r>
      <w:r w:rsidRPr="00376DE9">
        <w:rPr>
          <w:rFonts w:ascii="Times New Roman" w:hAnsi="Times New Roman"/>
        </w:rPr>
        <w:t xml:space="preserve">non-reporting to police in terms of the </w:t>
      </w:r>
      <w:r w:rsidRPr="00376DE9">
        <w:rPr>
          <w:rFonts w:ascii="Times New Roman" w:hAnsi="Times New Roman"/>
        </w:rPr>
        <w:t xml:space="preserve">breach </w:t>
      </w:r>
      <w:r w:rsidRPr="00376DE9">
        <w:rPr>
          <w:rFonts w:ascii="Times New Roman" w:hAnsi="Times New Roman"/>
        </w:rPr>
        <w:t xml:space="preserve">being </w:t>
      </w:r>
      <w:r w:rsidRPr="00376DE9">
        <w:rPr>
          <w:rFonts w:ascii="Times New Roman" w:hAnsi="Times New Roman"/>
        </w:rPr>
        <w:t xml:space="preserve">trivial and thus not </w:t>
      </w:r>
      <w:r w:rsidRPr="00376DE9">
        <w:rPr>
          <w:rFonts w:ascii="Times New Roman" w:hAnsi="Times New Roman"/>
        </w:rPr>
        <w:t xml:space="preserve">warranting </w:t>
      </w:r>
      <w:r w:rsidRPr="00376DE9">
        <w:rPr>
          <w:rFonts w:ascii="Times New Roman" w:hAnsi="Times New Roman"/>
        </w:rPr>
        <w:t xml:space="preserve">the </w:t>
      </w:r>
      <w:r w:rsidRPr="00376DE9">
        <w:rPr>
          <w:rFonts w:ascii="Times New Roman" w:hAnsi="Times New Roman"/>
        </w:rPr>
        <w:t xml:space="preserve">police </w:t>
      </w:r>
      <w:r w:rsidRPr="00376DE9">
        <w:rPr>
          <w:rFonts w:ascii="Times New Roman" w:hAnsi="Times New Roman"/>
        </w:rPr>
        <w:t xml:space="preserve">attention. </w:t>
      </w:r>
      <w:r w:rsidRPr="00376DE9">
        <w:rPr>
          <w:rFonts w:ascii="Times New Roman" w:hAnsi="Times New Roman"/>
        </w:rPr>
        <w:t xml:space="preserve">A further </w:t>
      </w:r>
      <w:r w:rsidRPr="00376DE9">
        <w:rPr>
          <w:rFonts w:ascii="Times New Roman" w:hAnsi="Times New Roman"/>
        </w:rPr>
        <w:t>10</w:t>
      </w:r>
      <w:r w:rsidRPr="00376DE9">
        <w:rPr>
          <w:rFonts w:ascii="Times New Roman" w:hAnsi="Times New Roman"/>
        </w:rPr>
        <w:t xml:space="preserve"> per cent</w:t>
      </w:r>
      <w:r w:rsidRPr="00376DE9">
        <w:rPr>
          <w:rFonts w:ascii="Times New Roman" w:hAnsi="Times New Roman"/>
        </w:rPr>
        <w:t xml:space="preserve"> </w:t>
      </w:r>
      <w:r w:rsidRPr="00376DE9">
        <w:rPr>
          <w:rFonts w:ascii="Times New Roman" w:hAnsi="Times New Roman"/>
        </w:rPr>
        <w:t xml:space="preserve">of interviewees </w:t>
      </w:r>
      <w:r w:rsidRPr="00376DE9">
        <w:rPr>
          <w:rFonts w:ascii="Times New Roman" w:hAnsi="Times New Roman"/>
        </w:rPr>
        <w:t xml:space="preserve">considered </w:t>
      </w:r>
      <w:r w:rsidRPr="00376DE9">
        <w:rPr>
          <w:rFonts w:ascii="Times New Roman" w:hAnsi="Times New Roman"/>
        </w:rPr>
        <w:t xml:space="preserve">it pointless to </w:t>
      </w:r>
      <w:r w:rsidRPr="00376DE9">
        <w:rPr>
          <w:rFonts w:ascii="Times New Roman" w:hAnsi="Times New Roman"/>
        </w:rPr>
        <w:t xml:space="preserve">file a police </w:t>
      </w:r>
      <w:r w:rsidRPr="00376DE9">
        <w:rPr>
          <w:rFonts w:ascii="Times New Roman" w:hAnsi="Times New Roman"/>
        </w:rPr>
        <w:t>report</w:t>
      </w:r>
      <w:r w:rsidRPr="00376DE9">
        <w:rPr>
          <w:rFonts w:ascii="Times New Roman" w:hAnsi="Times New Roman"/>
        </w:rPr>
        <w:t>, since the la</w:t>
      </w:r>
      <w:r w:rsidRPr="00376DE9">
        <w:rPr>
          <w:rFonts w:ascii="Times New Roman" w:hAnsi="Times New Roman"/>
        </w:rPr>
        <w:t xml:space="preserve">tter </w:t>
      </w:r>
      <w:r w:rsidRPr="00376DE9">
        <w:rPr>
          <w:rFonts w:ascii="Times New Roman" w:hAnsi="Times New Roman"/>
        </w:rPr>
        <w:t xml:space="preserve">would be </w:t>
      </w:r>
      <w:r w:rsidRPr="00376DE9">
        <w:rPr>
          <w:rFonts w:ascii="Times New Roman" w:hAnsi="Times New Roman"/>
        </w:rPr>
        <w:t>un</w:t>
      </w:r>
      <w:r w:rsidRPr="00376DE9">
        <w:rPr>
          <w:rFonts w:ascii="Times New Roman" w:hAnsi="Times New Roman"/>
        </w:rPr>
        <w:t>able to do anything</w:t>
      </w:r>
      <w:r w:rsidRPr="00376DE9">
        <w:rPr>
          <w:rFonts w:ascii="Times New Roman" w:hAnsi="Times New Roman"/>
        </w:rPr>
        <w:t>.</w:t>
      </w:r>
      <w:r>
        <w:rPr>
          <w:rStyle w:val="FootnoteReference"/>
          <w:rFonts w:ascii="Times New Roman" w:hAnsi="Times New Roman"/>
        </w:rPr>
        <w:footnoteReference w:id="32"/>
      </w:r>
      <w:r w:rsidRPr="00376DE9">
        <w:rPr>
          <w:rFonts w:ascii="Times New Roman" w:hAnsi="Times New Roman"/>
        </w:rPr>
        <w:t xml:space="preserve"> </w:t>
      </w:r>
      <w:r w:rsidRPr="00376DE9">
        <w:rPr>
          <w:rFonts w:ascii="Times New Roman" w:hAnsi="Times New Roman"/>
        </w:rPr>
        <w:t xml:space="preserve">Thus </w:t>
      </w:r>
      <w:r w:rsidRPr="00376DE9">
        <w:rPr>
          <w:rFonts w:ascii="Times New Roman" w:hAnsi="Times New Roman"/>
        </w:rPr>
        <w:t xml:space="preserve">while </w:t>
      </w:r>
      <w:r w:rsidRPr="00376DE9">
        <w:rPr>
          <w:rFonts w:ascii="Times New Roman" w:hAnsi="Times New Roman"/>
        </w:rPr>
        <w:t xml:space="preserve">law </w:t>
      </w:r>
      <w:r w:rsidRPr="00376DE9">
        <w:rPr>
          <w:rFonts w:ascii="Times New Roman" w:hAnsi="Times New Roman"/>
        </w:rPr>
        <w:t xml:space="preserve">may </w:t>
      </w:r>
      <w:r w:rsidRPr="00376DE9">
        <w:rPr>
          <w:rFonts w:ascii="Times New Roman" w:hAnsi="Times New Roman"/>
        </w:rPr>
        <w:t xml:space="preserve">provide police </w:t>
      </w:r>
      <w:r w:rsidRPr="00376DE9">
        <w:rPr>
          <w:rFonts w:ascii="Times New Roman" w:hAnsi="Times New Roman"/>
        </w:rPr>
        <w:t>power</w:t>
      </w:r>
      <w:r w:rsidRPr="00376DE9">
        <w:rPr>
          <w:rFonts w:ascii="Times New Roman" w:hAnsi="Times New Roman"/>
        </w:rPr>
        <w:t>s</w:t>
      </w:r>
      <w:r w:rsidRPr="00376DE9">
        <w:rPr>
          <w:rFonts w:ascii="Times New Roman" w:hAnsi="Times New Roman"/>
        </w:rPr>
        <w:t xml:space="preserve"> to</w:t>
      </w:r>
      <w:r w:rsidRPr="00376DE9">
        <w:rPr>
          <w:rFonts w:ascii="Times New Roman" w:hAnsi="Times New Roman"/>
        </w:rPr>
        <w:t xml:space="preserve"> enforce public health restrictions</w:t>
      </w:r>
      <w:r w:rsidRPr="00376DE9">
        <w:rPr>
          <w:rFonts w:ascii="Times New Roman" w:hAnsi="Times New Roman"/>
        </w:rPr>
        <w:t>, public understanding</w:t>
      </w:r>
      <w:r w:rsidRPr="00376DE9">
        <w:rPr>
          <w:rFonts w:ascii="Times New Roman" w:hAnsi="Times New Roman"/>
        </w:rPr>
        <w:t xml:space="preserve"> or acceptance </w:t>
      </w:r>
      <w:r w:rsidRPr="00376DE9">
        <w:rPr>
          <w:rFonts w:ascii="Times New Roman" w:hAnsi="Times New Roman"/>
        </w:rPr>
        <w:t xml:space="preserve">of these </w:t>
      </w:r>
      <w:r w:rsidRPr="00376DE9">
        <w:rPr>
          <w:rFonts w:ascii="Times New Roman" w:hAnsi="Times New Roman"/>
        </w:rPr>
        <w:t xml:space="preserve">restrictions </w:t>
      </w:r>
      <w:r w:rsidRPr="00376DE9">
        <w:rPr>
          <w:rFonts w:ascii="Times New Roman" w:hAnsi="Times New Roman"/>
        </w:rPr>
        <w:t>as police or criminal matters</w:t>
      </w:r>
      <w:r w:rsidRPr="00376DE9">
        <w:rPr>
          <w:rFonts w:ascii="Times New Roman" w:hAnsi="Times New Roman"/>
        </w:rPr>
        <w:t xml:space="preserve"> may not follow</w:t>
      </w:r>
      <w:r w:rsidRPr="00376DE9">
        <w:rPr>
          <w:rFonts w:ascii="Times New Roman" w:hAnsi="Times New Roman"/>
        </w:rPr>
        <w:t>.</w:t>
      </w:r>
    </w:p>
    <w:p w:rsidR="00FB7FCA"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Second, extensive </w:t>
      </w:r>
      <w:r w:rsidRPr="00376DE9">
        <w:rPr>
          <w:rFonts w:ascii="Times New Roman" w:hAnsi="Times New Roman"/>
        </w:rPr>
        <w:t>criminalisation</w:t>
      </w:r>
      <w:r w:rsidRPr="00376DE9">
        <w:rPr>
          <w:rFonts w:ascii="Times New Roman" w:hAnsi="Times New Roman"/>
        </w:rPr>
        <w:t xml:space="preserve"> in public health may contribute towards more general trends of overcriminalisation—the criminal law is seen as a solution to an ever-increasing set of social problems.</w:t>
      </w:r>
      <w:r w:rsidRPr="00376DE9">
        <w:rPr>
          <w:rFonts w:ascii="Times New Roman" w:hAnsi="Times New Roman"/>
        </w:rPr>
        <w:t xml:space="preserve"> The worry here is twofold. What are initially presented and perceived as</w:t>
      </w:r>
      <w:r w:rsidRPr="00376DE9">
        <w:rPr>
          <w:rFonts w:ascii="Times New Roman" w:hAnsi="Times New Roman"/>
        </w:rPr>
        <w:t xml:space="preserve"> exceptional measures become normalised. </w:t>
      </w:r>
      <w:r w:rsidRPr="00376DE9">
        <w:rPr>
          <w:rFonts w:ascii="Times New Roman" w:hAnsi="Times New Roman"/>
        </w:rPr>
        <w:t>And there is a risk of contagion or spillover of criminalisation from domains in which it is seen as a practical and effective tool to other areas of social life.</w:t>
      </w:r>
      <w:r>
        <w:rPr>
          <w:rStyle w:val="FootnoteReference"/>
          <w:rFonts w:ascii="Times New Roman" w:hAnsi="Times New Roman"/>
        </w:rPr>
        <w:footnoteReference w:id="33"/>
      </w:r>
      <w:r w:rsidRPr="00376DE9">
        <w:rPr>
          <w:rFonts w:ascii="Times New Roman" w:hAnsi="Times New Roman"/>
        </w:rPr>
        <w:t xml:space="preserve"> Arguably, the introduction in this Parliament of a</w:t>
      </w:r>
      <w:r w:rsidRPr="00376DE9">
        <w:rPr>
          <w:rFonts w:ascii="Times New Roman" w:hAnsi="Times New Roman"/>
        </w:rPr>
        <w:t xml:space="preserve"> far-reaching statutory offence of public nuisance whose effect may be substantially to curtail the right to protest is not incidental to coronavirus restrictions, rather causally related to them.</w:t>
      </w:r>
      <w:r>
        <w:rPr>
          <w:rStyle w:val="FootnoteReference"/>
          <w:rFonts w:ascii="Times New Roman" w:hAnsi="Times New Roman"/>
        </w:rPr>
        <w:footnoteReference w:id="34"/>
      </w:r>
    </w:p>
    <w:p w:rsidR="00174B0D" w:rsidRPr="00376DE9" w:rsidP="00290038">
      <w:pPr>
        <w:pStyle w:val="Body"/>
        <w:numPr>
          <w:ilvl w:val="0"/>
          <w:numId w:val="13"/>
        </w:numPr>
        <w:ind w:left="0" w:hanging="357"/>
        <w:rPr>
          <w:rFonts w:ascii="Times New Roman" w:hAnsi="Times New Roman"/>
        </w:rPr>
      </w:pPr>
      <w:r w:rsidRPr="00376DE9">
        <w:rPr>
          <w:rFonts w:ascii="Times New Roman" w:hAnsi="Times New Roman"/>
        </w:rPr>
        <w:t xml:space="preserve">In short, the </w:t>
      </w:r>
      <w:r w:rsidRPr="00376DE9">
        <w:rPr>
          <w:rFonts w:ascii="Times New Roman" w:hAnsi="Times New Roman"/>
        </w:rPr>
        <w:t xml:space="preserve">experience of the </w:t>
      </w:r>
      <w:r w:rsidRPr="00376DE9">
        <w:rPr>
          <w:rFonts w:ascii="Times New Roman" w:hAnsi="Times New Roman"/>
        </w:rPr>
        <w:t xml:space="preserve">response to the Covid-19 </w:t>
      </w:r>
      <w:r w:rsidRPr="00376DE9">
        <w:rPr>
          <w:rFonts w:ascii="Times New Roman" w:hAnsi="Times New Roman"/>
        </w:rPr>
        <w:t>offers an opportunity to learn lessons about the appropriateness and extent of criminalisation in public health</w:t>
      </w:r>
      <w:r w:rsidRPr="00376DE9">
        <w:rPr>
          <w:rFonts w:ascii="Times New Roman" w:hAnsi="Times New Roman"/>
        </w:rPr>
        <w:t>, both in terms of effectiveness and externalities.</w:t>
      </w:r>
    </w:p>
    <w:p w:rsidR="00A52B35" w:rsidRPr="00376DE9">
      <w:pPr>
        <w:spacing w:after="160" w:line="259" w:lineRule="auto"/>
        <w:rPr>
          <w:rFonts w:ascii="Times New Roman" w:hAnsi="Times New Roman"/>
          <w:b/>
        </w:rPr>
      </w:pPr>
      <w:r w:rsidRPr="00376DE9">
        <w:rPr>
          <w:rFonts w:ascii="Times New Roman" w:hAnsi="Times New Roman"/>
        </w:rPr>
        <w:br w:type="page"/>
      </w:r>
    </w:p>
    <w:p w:rsidR="00827077" w:rsidRPr="00376DE9" w:rsidP="00827077">
      <w:pPr>
        <w:pStyle w:val="Heading1"/>
        <w:numPr>
          <w:ilvl w:val="0"/>
          <w:numId w:val="0"/>
        </w:numPr>
        <w:rPr>
          <w:rFonts w:ascii="Times New Roman" w:hAnsi="Times New Roman" w:cs="Times New Roman"/>
        </w:rPr>
      </w:pPr>
      <w:r w:rsidRPr="00376DE9">
        <w:rPr>
          <w:rFonts w:ascii="Times New Roman" w:hAnsi="Times New Roman" w:cs="Times New Roman"/>
        </w:rPr>
        <w:t>Fixed penalty notices</w:t>
      </w:r>
    </w:p>
    <w:p w:rsidR="000C152E" w:rsidRPr="00376DE9" w:rsidP="000C152E">
      <w:pPr>
        <w:pStyle w:val="Body"/>
        <w:numPr>
          <w:ilvl w:val="0"/>
          <w:numId w:val="13"/>
        </w:numPr>
        <w:ind w:left="0" w:hanging="357"/>
        <w:rPr>
          <w:rFonts w:ascii="Times New Roman" w:hAnsi="Times New Roman"/>
        </w:rPr>
      </w:pPr>
      <w:r w:rsidRPr="00376DE9">
        <w:rPr>
          <w:rFonts w:ascii="Times New Roman" w:hAnsi="Times New Roman"/>
        </w:rPr>
        <w:t xml:space="preserve">The primary vehicle of criminalisation under coronavirus </w:t>
      </w:r>
      <w:r w:rsidRPr="00376DE9">
        <w:rPr>
          <w:rFonts w:ascii="Times New Roman" w:hAnsi="Times New Roman"/>
        </w:rPr>
        <w:t>regulations</w:t>
      </w:r>
      <w:r w:rsidRPr="00376DE9">
        <w:rPr>
          <w:rFonts w:ascii="Times New Roman" w:hAnsi="Times New Roman"/>
        </w:rPr>
        <w:t xml:space="preserve"> </w:t>
      </w:r>
      <w:r w:rsidRPr="00376DE9">
        <w:rPr>
          <w:rFonts w:ascii="Times New Roman" w:hAnsi="Times New Roman"/>
        </w:rPr>
        <w:t>is the fixed penalty notice</w:t>
      </w:r>
      <w:r w:rsidRPr="00376DE9">
        <w:rPr>
          <w:rFonts w:ascii="Times New Roman" w:hAnsi="Times New Roman"/>
        </w:rPr>
        <w:t xml:space="preserve"> (FPN)</w:t>
      </w:r>
      <w:r w:rsidRPr="00376DE9">
        <w:rPr>
          <w:rFonts w:ascii="Times New Roman" w:hAnsi="Times New Roman"/>
        </w:rPr>
        <w:t>.</w:t>
      </w:r>
      <w:r>
        <w:rPr>
          <w:rStyle w:val="FootnoteReference"/>
          <w:rFonts w:ascii="Times New Roman" w:hAnsi="Times New Roman"/>
        </w:rPr>
        <w:footnoteReference w:id="35"/>
      </w:r>
      <w:r w:rsidRPr="00376DE9">
        <w:rPr>
          <w:rFonts w:ascii="Times New Roman" w:hAnsi="Times New Roman"/>
        </w:rPr>
        <w:t xml:space="preserve"> </w:t>
      </w:r>
      <w:r w:rsidRPr="00376DE9">
        <w:rPr>
          <w:rFonts w:ascii="Times New Roman" w:hAnsi="Times New Roman"/>
          <w:color w:val="000000" w:themeColor="text1"/>
        </w:rPr>
        <w:t xml:space="preserve">The latest </w:t>
      </w:r>
      <w:r w:rsidRPr="00376DE9">
        <w:rPr>
          <w:rFonts w:ascii="Times New Roman" w:hAnsi="Times New Roman"/>
          <w:color w:val="000000" w:themeColor="text1"/>
        </w:rPr>
        <w:t xml:space="preserve">NPCC </w:t>
      </w:r>
      <w:r w:rsidRPr="00376DE9">
        <w:rPr>
          <w:rFonts w:ascii="Times New Roman" w:hAnsi="Times New Roman"/>
          <w:color w:val="000000" w:themeColor="text1"/>
        </w:rPr>
        <w:t xml:space="preserve">data suggest that around 95,000 FPNs have been processed by the police in England and Wales </w:t>
      </w:r>
      <w:r w:rsidRPr="00376DE9">
        <w:rPr>
          <w:rFonts w:ascii="Times New Roman" w:hAnsi="Times New Roman"/>
          <w:color w:val="000000" w:themeColor="text1"/>
        </w:rPr>
        <w:t xml:space="preserve">in the period to </w:t>
      </w:r>
      <w:r w:rsidRPr="00376DE9">
        <w:rPr>
          <w:rFonts w:ascii="Times New Roman" w:hAnsi="Times New Roman"/>
          <w:color w:val="000000" w:themeColor="text1"/>
        </w:rPr>
        <w:t>March 2021</w:t>
      </w:r>
      <w:r w:rsidRPr="00376DE9">
        <w:rPr>
          <w:rFonts w:ascii="Times New Roman" w:hAnsi="Times New Roman"/>
          <w:color w:val="000000" w:themeColor="text1"/>
        </w:rPr>
        <w:t>.</w:t>
      </w:r>
      <w:r>
        <w:rPr>
          <w:rStyle w:val="FootnoteReference"/>
          <w:rFonts w:ascii="Times New Roman" w:hAnsi="Times New Roman"/>
          <w:color w:val="000000" w:themeColor="text1"/>
        </w:rPr>
        <w:footnoteReference w:id="36"/>
      </w:r>
    </w:p>
    <w:p w:rsidR="00F83C0F" w:rsidRPr="00376DE9" w:rsidP="000C152E">
      <w:pPr>
        <w:pStyle w:val="Body"/>
        <w:numPr>
          <w:ilvl w:val="0"/>
          <w:numId w:val="13"/>
        </w:numPr>
        <w:ind w:left="0" w:hanging="357"/>
        <w:rPr>
          <w:rFonts w:ascii="Times New Roman" w:hAnsi="Times New Roman"/>
        </w:rPr>
      </w:pPr>
      <w:r w:rsidRPr="00376DE9">
        <w:rPr>
          <w:rFonts w:ascii="Times New Roman" w:hAnsi="Times New Roman"/>
        </w:rPr>
        <w:t xml:space="preserve">In principle, FPNs function as an alternative to prosecution. By paying the </w:t>
      </w:r>
      <w:r w:rsidRPr="00376DE9">
        <w:rPr>
          <w:rFonts w:ascii="Times New Roman" w:hAnsi="Times New Roman"/>
        </w:rPr>
        <w:t>monetary fine specified in the FPN, the person issued such a notice avoids prosecution in the magistrates’ court.</w:t>
      </w:r>
    </w:p>
    <w:p w:rsidR="00827077" w:rsidRPr="00376DE9" w:rsidP="00827077">
      <w:pPr>
        <w:pStyle w:val="Body"/>
        <w:numPr>
          <w:ilvl w:val="0"/>
          <w:numId w:val="13"/>
        </w:numPr>
        <w:ind w:left="0" w:hanging="357"/>
        <w:rPr>
          <w:rFonts w:ascii="Times New Roman" w:hAnsi="Times New Roman"/>
        </w:rPr>
      </w:pPr>
      <w:r w:rsidRPr="00376DE9">
        <w:rPr>
          <w:rFonts w:ascii="Times New Roman" w:hAnsi="Times New Roman"/>
        </w:rPr>
        <w:t xml:space="preserve">Covid-19 </w:t>
      </w:r>
      <w:r w:rsidRPr="00376DE9">
        <w:rPr>
          <w:rFonts w:ascii="Times New Roman" w:hAnsi="Times New Roman"/>
        </w:rPr>
        <w:t xml:space="preserve">FPNs </w:t>
      </w:r>
      <w:r w:rsidRPr="00376DE9">
        <w:rPr>
          <w:rFonts w:ascii="Times New Roman" w:hAnsi="Times New Roman"/>
        </w:rPr>
        <w:t>provide for significant penalties either at first offence,</w:t>
      </w:r>
      <w:r>
        <w:rPr>
          <w:rStyle w:val="FootnoteReference"/>
          <w:rFonts w:ascii="Times New Roman" w:hAnsi="Times New Roman"/>
        </w:rPr>
        <w:footnoteReference w:id="37"/>
      </w:r>
      <w:r w:rsidRPr="00376DE9">
        <w:rPr>
          <w:rFonts w:ascii="Times New Roman" w:hAnsi="Times New Roman"/>
        </w:rPr>
        <w:t xml:space="preserve"> or in the event of successive </w:t>
      </w:r>
      <w:r w:rsidRPr="00376DE9">
        <w:rPr>
          <w:rFonts w:ascii="Times New Roman" w:hAnsi="Times New Roman"/>
        </w:rPr>
        <w:t>offences</w:t>
      </w:r>
      <w:r w:rsidRPr="00376DE9">
        <w:rPr>
          <w:rFonts w:ascii="Times New Roman" w:hAnsi="Times New Roman"/>
        </w:rPr>
        <w:t>.</w:t>
      </w:r>
      <w:r>
        <w:rPr>
          <w:rStyle w:val="FootnoteReference"/>
          <w:rFonts w:ascii="Times New Roman" w:hAnsi="Times New Roman"/>
        </w:rPr>
        <w:footnoteReference w:id="38"/>
      </w:r>
      <w:r w:rsidRPr="00376DE9">
        <w:rPr>
          <w:rFonts w:ascii="Times New Roman" w:hAnsi="Times New Roman"/>
        </w:rPr>
        <w:t xml:space="preserve"> These very substantial pe</w:t>
      </w:r>
      <w:r w:rsidRPr="00376DE9">
        <w:rPr>
          <w:rFonts w:ascii="Times New Roman" w:hAnsi="Times New Roman"/>
        </w:rPr>
        <w:t xml:space="preserve">nalties </w:t>
      </w:r>
      <w:r w:rsidRPr="00376DE9">
        <w:rPr>
          <w:rFonts w:ascii="Times New Roman" w:hAnsi="Times New Roman"/>
        </w:rPr>
        <w:t>a</w:t>
      </w:r>
      <w:r w:rsidRPr="00376DE9">
        <w:rPr>
          <w:rFonts w:ascii="Times New Roman" w:hAnsi="Times New Roman"/>
        </w:rPr>
        <w:t>re</w:t>
      </w:r>
      <w:r w:rsidRPr="00376DE9">
        <w:rPr>
          <w:rFonts w:ascii="Times New Roman" w:hAnsi="Times New Roman"/>
        </w:rPr>
        <w:t xml:space="preserve"> problematic</w:t>
      </w:r>
      <w:r w:rsidRPr="00376DE9">
        <w:rPr>
          <w:rFonts w:ascii="Times New Roman" w:hAnsi="Times New Roman"/>
        </w:rPr>
        <w:t>, for at least three reasons</w:t>
      </w:r>
      <w:r w:rsidRPr="00376DE9">
        <w:rPr>
          <w:rFonts w:ascii="Times New Roman" w:hAnsi="Times New Roman"/>
        </w:rPr>
        <w:t xml:space="preserve">. First, </w:t>
      </w:r>
      <w:r w:rsidRPr="00376DE9">
        <w:rPr>
          <w:rFonts w:ascii="Times New Roman" w:hAnsi="Times New Roman"/>
        </w:rPr>
        <w:t xml:space="preserve">high penalties undermine the objective that FPNs operate as an alternative to </w:t>
      </w:r>
      <w:r w:rsidRPr="00376DE9">
        <w:rPr>
          <w:rFonts w:ascii="Times New Roman" w:hAnsi="Times New Roman"/>
        </w:rPr>
        <w:t xml:space="preserve">formal </w:t>
      </w:r>
      <w:r w:rsidRPr="00376DE9">
        <w:rPr>
          <w:rFonts w:ascii="Times New Roman" w:hAnsi="Times New Roman"/>
        </w:rPr>
        <w:t xml:space="preserve">criminalisation. For those </w:t>
      </w:r>
      <w:r w:rsidRPr="00376DE9">
        <w:rPr>
          <w:rFonts w:ascii="Times New Roman" w:hAnsi="Times New Roman"/>
        </w:rPr>
        <w:t xml:space="preserve">people </w:t>
      </w:r>
      <w:r w:rsidRPr="00376DE9">
        <w:rPr>
          <w:rFonts w:ascii="Times New Roman" w:hAnsi="Times New Roman"/>
        </w:rPr>
        <w:t>unable to pay Covid-19 FPNs, prosecution will follow. Since the elevated pena</w:t>
      </w:r>
      <w:r w:rsidRPr="00376DE9">
        <w:rPr>
          <w:rFonts w:ascii="Times New Roman" w:hAnsi="Times New Roman"/>
        </w:rPr>
        <w:t xml:space="preserve">lties associated with Covid-19 FPNs plausibly enlarge the class of people unable to </w:t>
      </w:r>
      <w:r w:rsidRPr="00376DE9">
        <w:rPr>
          <w:rFonts w:ascii="Times New Roman" w:hAnsi="Times New Roman"/>
        </w:rPr>
        <w:t xml:space="preserve">pay the fine, we are likely to see substantial </w:t>
      </w:r>
      <w:r w:rsidRPr="00376DE9">
        <w:rPr>
          <w:rFonts w:ascii="Times New Roman" w:hAnsi="Times New Roman"/>
        </w:rPr>
        <w:t xml:space="preserve">unintended </w:t>
      </w:r>
      <w:r w:rsidRPr="00376DE9">
        <w:rPr>
          <w:rFonts w:ascii="Times New Roman" w:hAnsi="Times New Roman"/>
        </w:rPr>
        <w:t>criminalisation as a result of breaches of coronavirus</w:t>
      </w:r>
      <w:r w:rsidRPr="00376DE9">
        <w:rPr>
          <w:rFonts w:ascii="Times New Roman" w:hAnsi="Times New Roman"/>
        </w:rPr>
        <w:t xml:space="preserve"> regulations</w:t>
      </w:r>
      <w:r w:rsidRPr="00376DE9">
        <w:rPr>
          <w:rFonts w:ascii="Times New Roman" w:hAnsi="Times New Roman"/>
        </w:rPr>
        <w:t>.</w:t>
      </w:r>
      <w:r w:rsidRPr="00376DE9">
        <w:rPr>
          <w:rFonts w:ascii="Times New Roman" w:hAnsi="Times New Roman"/>
        </w:rPr>
        <w:t xml:space="preserve"> Second, while unintended criminalisation as a </w:t>
      </w:r>
      <w:r w:rsidRPr="00376DE9">
        <w:rPr>
          <w:rFonts w:ascii="Times New Roman" w:hAnsi="Times New Roman"/>
        </w:rPr>
        <w:t xml:space="preserve">result of Covid-19 criminalisation is problematic in and of itself, in addition the existence of elevated penalties </w:t>
      </w:r>
      <w:r w:rsidRPr="00376DE9">
        <w:rPr>
          <w:rFonts w:ascii="Times New Roman" w:hAnsi="Times New Roman"/>
        </w:rPr>
        <w:t>carries</w:t>
      </w:r>
      <w:r w:rsidRPr="00376DE9">
        <w:rPr>
          <w:rFonts w:ascii="Times New Roman" w:hAnsi="Times New Roman"/>
        </w:rPr>
        <w:t xml:space="preserve"> </w:t>
      </w:r>
      <w:r w:rsidRPr="00376DE9">
        <w:rPr>
          <w:rFonts w:ascii="Times New Roman" w:hAnsi="Times New Roman"/>
        </w:rPr>
        <w:t>the</w:t>
      </w:r>
      <w:r w:rsidRPr="00376DE9">
        <w:rPr>
          <w:rFonts w:ascii="Times New Roman" w:hAnsi="Times New Roman"/>
        </w:rPr>
        <w:t xml:space="preserve"> risk of ‘two-tier’ justice,</w:t>
      </w:r>
      <w:r>
        <w:rPr>
          <w:rStyle w:val="FootnoteReference"/>
          <w:rFonts w:ascii="Times New Roman" w:hAnsi="Times New Roman"/>
        </w:rPr>
        <w:footnoteReference w:id="39"/>
      </w:r>
      <w:r w:rsidRPr="00376DE9">
        <w:rPr>
          <w:rFonts w:ascii="Times New Roman" w:hAnsi="Times New Roman"/>
        </w:rPr>
        <w:t xml:space="preserve"> according to which wealthy individuals may escape criminalisation for coronavirus lockdown breache</w:t>
      </w:r>
      <w:r w:rsidRPr="00376DE9">
        <w:rPr>
          <w:rFonts w:ascii="Times New Roman" w:hAnsi="Times New Roman"/>
        </w:rPr>
        <w:t>s</w:t>
      </w:r>
      <w:r w:rsidRPr="00376DE9">
        <w:rPr>
          <w:rFonts w:ascii="Times New Roman" w:hAnsi="Times New Roman"/>
        </w:rPr>
        <w:t xml:space="preserve">, whereas those of </w:t>
      </w:r>
      <w:r w:rsidRPr="00376DE9">
        <w:rPr>
          <w:rFonts w:ascii="Times New Roman" w:hAnsi="Times New Roman"/>
        </w:rPr>
        <w:t xml:space="preserve">limited or </w:t>
      </w:r>
      <w:r w:rsidRPr="00376DE9">
        <w:rPr>
          <w:rFonts w:ascii="Times New Roman" w:hAnsi="Times New Roman"/>
        </w:rPr>
        <w:t>modest means face a distressing encounter with the criminal justice system.</w:t>
      </w:r>
      <w:r w:rsidRPr="00376DE9">
        <w:rPr>
          <w:rFonts w:ascii="Times New Roman" w:hAnsi="Times New Roman"/>
        </w:rPr>
        <w:t xml:space="preserve"> Third, if the public considers FPN penalties to be out of proportion to the wrong</w:t>
      </w:r>
      <w:r w:rsidRPr="00376DE9">
        <w:rPr>
          <w:rFonts w:ascii="Times New Roman" w:hAnsi="Times New Roman"/>
        </w:rPr>
        <w:t>s</w:t>
      </w:r>
      <w:r w:rsidRPr="00376DE9">
        <w:rPr>
          <w:rFonts w:ascii="Times New Roman" w:hAnsi="Times New Roman"/>
        </w:rPr>
        <w:t xml:space="preserve"> targeted by criminalisation, </w:t>
      </w:r>
      <w:r w:rsidRPr="00376DE9">
        <w:rPr>
          <w:rFonts w:ascii="Times New Roman" w:hAnsi="Times New Roman"/>
        </w:rPr>
        <w:t xml:space="preserve">we may see </w:t>
      </w:r>
      <w:r w:rsidRPr="00376DE9">
        <w:rPr>
          <w:rFonts w:ascii="Times New Roman" w:hAnsi="Times New Roman"/>
        </w:rPr>
        <w:t>reduce</w:t>
      </w:r>
      <w:r w:rsidRPr="00376DE9">
        <w:rPr>
          <w:rFonts w:ascii="Times New Roman" w:hAnsi="Times New Roman"/>
        </w:rPr>
        <w:t>d</w:t>
      </w:r>
      <w:r w:rsidRPr="00376DE9">
        <w:rPr>
          <w:rFonts w:ascii="Times New Roman" w:hAnsi="Times New Roman"/>
        </w:rPr>
        <w:t xml:space="preserve">, rather than </w:t>
      </w:r>
      <w:r w:rsidRPr="00376DE9">
        <w:rPr>
          <w:rFonts w:ascii="Times New Roman" w:hAnsi="Times New Roman"/>
        </w:rPr>
        <w:t>incre</w:t>
      </w:r>
      <w:r w:rsidRPr="00376DE9">
        <w:rPr>
          <w:rFonts w:ascii="Times New Roman" w:hAnsi="Times New Roman"/>
        </w:rPr>
        <w:t xml:space="preserve">ased </w:t>
      </w:r>
      <w:r w:rsidRPr="00376DE9">
        <w:rPr>
          <w:rFonts w:ascii="Times New Roman" w:hAnsi="Times New Roman"/>
        </w:rPr>
        <w:t>compliance with the regulations—excessive penalties may prove counterproductive.</w:t>
      </w:r>
      <w:r>
        <w:rPr>
          <w:rStyle w:val="FootnoteReference"/>
          <w:rFonts w:ascii="Times New Roman" w:hAnsi="Times New Roman"/>
        </w:rPr>
        <w:footnoteReference w:id="40"/>
      </w:r>
    </w:p>
    <w:p w:rsidR="00266B61" w:rsidRPr="00376DE9" w:rsidP="00827077">
      <w:pPr>
        <w:pStyle w:val="Body"/>
        <w:numPr>
          <w:ilvl w:val="0"/>
          <w:numId w:val="13"/>
        </w:numPr>
        <w:ind w:left="0" w:hanging="357"/>
        <w:rPr>
          <w:rFonts w:ascii="Times New Roman" w:hAnsi="Times New Roman"/>
        </w:rPr>
      </w:pPr>
      <w:r w:rsidRPr="00376DE9">
        <w:rPr>
          <w:rFonts w:ascii="Times New Roman" w:hAnsi="Times New Roman"/>
        </w:rPr>
        <w:t xml:space="preserve">A further concern around FPNs is their appropriateness as a tool of public health enforcement: a) in a fluid regulatory environment; and b) for </w:t>
      </w:r>
      <w:r w:rsidRPr="00376DE9">
        <w:rPr>
          <w:rFonts w:ascii="Times New Roman" w:hAnsi="Times New Roman"/>
        </w:rPr>
        <w:t>offences that carry a hi</w:t>
      </w:r>
      <w:r w:rsidRPr="00376DE9">
        <w:rPr>
          <w:rFonts w:ascii="Times New Roman" w:hAnsi="Times New Roman"/>
        </w:rPr>
        <w:t>gh degree of police discretion.</w:t>
      </w:r>
      <w:r w:rsidRPr="00376DE9">
        <w:rPr>
          <w:rFonts w:ascii="Times New Roman" w:hAnsi="Times New Roman"/>
        </w:rPr>
        <w:t xml:space="preserve"> In respect of a), we note above that both public and police understanding of what coronavirus regulations require and the distinction between law and guidance is </w:t>
      </w:r>
      <w:r w:rsidRPr="00376DE9">
        <w:rPr>
          <w:rFonts w:ascii="Times New Roman" w:hAnsi="Times New Roman"/>
        </w:rPr>
        <w:t xml:space="preserve">far from </w:t>
      </w:r>
      <w:r w:rsidRPr="00376DE9">
        <w:rPr>
          <w:rFonts w:ascii="Times New Roman" w:hAnsi="Times New Roman"/>
        </w:rPr>
        <w:t>optimal</w:t>
      </w:r>
      <w:r w:rsidRPr="00376DE9">
        <w:rPr>
          <w:rFonts w:ascii="Times New Roman" w:hAnsi="Times New Roman"/>
        </w:rPr>
        <w:t xml:space="preserve">. In respect of b) we express concern </w:t>
      </w:r>
      <w:r w:rsidRPr="00376DE9">
        <w:rPr>
          <w:rFonts w:ascii="Times New Roman" w:hAnsi="Times New Roman"/>
        </w:rPr>
        <w:t>above about how</w:t>
      </w:r>
      <w:r w:rsidRPr="00376DE9">
        <w:rPr>
          <w:rFonts w:ascii="Times New Roman" w:hAnsi="Times New Roman"/>
        </w:rPr>
        <w:t xml:space="preserve">, </w:t>
      </w:r>
      <w:r w:rsidRPr="00376DE9">
        <w:rPr>
          <w:rFonts w:ascii="Times New Roman" w:hAnsi="Times New Roman"/>
        </w:rPr>
        <w:t xml:space="preserve">among other things, </w:t>
      </w:r>
      <w:r w:rsidRPr="00376DE9">
        <w:rPr>
          <w:rFonts w:ascii="Times New Roman" w:hAnsi="Times New Roman"/>
        </w:rPr>
        <w:t xml:space="preserve">a failure to follow </w:t>
      </w:r>
      <w:r w:rsidRPr="00376DE9">
        <w:rPr>
          <w:rFonts w:ascii="Times New Roman" w:hAnsi="Times New Roman"/>
        </w:rPr>
        <w:t xml:space="preserve">a police </w:t>
      </w:r>
      <w:r w:rsidRPr="00376DE9">
        <w:rPr>
          <w:rFonts w:ascii="Times New Roman" w:hAnsi="Times New Roman"/>
        </w:rPr>
        <w:t xml:space="preserve">‘reasonable instruction’ has been </w:t>
      </w:r>
      <w:r w:rsidRPr="00376DE9">
        <w:rPr>
          <w:rFonts w:ascii="Times New Roman" w:hAnsi="Times New Roman"/>
        </w:rPr>
        <w:t>criminalised.</w:t>
      </w:r>
      <w:r>
        <w:rPr>
          <w:rStyle w:val="FootnoteReference"/>
          <w:rFonts w:ascii="Times New Roman" w:hAnsi="Times New Roman"/>
        </w:rPr>
        <w:footnoteReference w:id="41"/>
      </w:r>
      <w:r w:rsidRPr="00376DE9">
        <w:rPr>
          <w:rFonts w:ascii="Times New Roman" w:hAnsi="Times New Roman"/>
        </w:rPr>
        <w:t xml:space="preserve"> Considering the quantitative data on FPNs against CPS review of finalised cases data, a plausible inference is that thousands of FPNs have b</w:t>
      </w:r>
      <w:r w:rsidRPr="00376DE9">
        <w:rPr>
          <w:rFonts w:ascii="Times New Roman" w:hAnsi="Times New Roman"/>
        </w:rPr>
        <w:t>een unlawfully issued.</w:t>
      </w:r>
      <w:r w:rsidRPr="00376DE9">
        <w:rPr>
          <w:rFonts w:ascii="Times New Roman" w:hAnsi="Times New Roman"/>
        </w:rPr>
        <w:t xml:space="preserve"> </w:t>
      </w:r>
      <w:r w:rsidRPr="00376DE9">
        <w:rPr>
          <w:rFonts w:ascii="Times New Roman" w:hAnsi="Times New Roman"/>
        </w:rPr>
        <w:t>This problematic in and of itself</w:t>
      </w:r>
      <w:r w:rsidRPr="00376DE9">
        <w:rPr>
          <w:rFonts w:ascii="Times New Roman" w:hAnsi="Times New Roman"/>
        </w:rPr>
        <w:t xml:space="preserve">, </w:t>
      </w:r>
      <w:r w:rsidRPr="00376DE9">
        <w:rPr>
          <w:rFonts w:ascii="Times New Roman" w:hAnsi="Times New Roman"/>
        </w:rPr>
        <w:t>and more</w:t>
      </w:r>
      <w:r w:rsidRPr="00376DE9">
        <w:rPr>
          <w:rFonts w:ascii="Times New Roman" w:hAnsi="Times New Roman"/>
        </w:rPr>
        <w:t xml:space="preserve"> </w:t>
      </w:r>
      <w:r w:rsidRPr="00376DE9">
        <w:rPr>
          <w:rFonts w:ascii="Times New Roman" w:hAnsi="Times New Roman"/>
        </w:rPr>
        <w:t xml:space="preserve">so because </w:t>
      </w:r>
      <w:r w:rsidRPr="00376DE9">
        <w:rPr>
          <w:rFonts w:ascii="Times New Roman" w:hAnsi="Times New Roman"/>
        </w:rPr>
        <w:t>the impacts of criminalisation as part of the response to Covid-19 falls unequally.</w:t>
      </w:r>
    </w:p>
    <w:p w:rsidR="00FE11CB" w:rsidRPr="00376DE9" w:rsidP="00827077">
      <w:pPr>
        <w:pStyle w:val="Body"/>
        <w:numPr>
          <w:ilvl w:val="0"/>
          <w:numId w:val="13"/>
        </w:numPr>
        <w:ind w:left="0" w:hanging="357"/>
        <w:rPr>
          <w:rFonts w:ascii="Times New Roman" w:hAnsi="Times New Roman"/>
        </w:rPr>
      </w:pPr>
      <w:r w:rsidRPr="00376DE9">
        <w:rPr>
          <w:rFonts w:ascii="Times New Roman" w:hAnsi="Times New Roman"/>
        </w:rPr>
        <w:t>E</w:t>
      </w:r>
      <w:r w:rsidRPr="00376DE9">
        <w:rPr>
          <w:rFonts w:ascii="Times New Roman" w:hAnsi="Times New Roman"/>
        </w:rPr>
        <w:t xml:space="preserve">vidence suggests </w:t>
      </w:r>
      <w:r w:rsidRPr="00376DE9">
        <w:rPr>
          <w:rFonts w:ascii="Times New Roman" w:hAnsi="Times New Roman"/>
        </w:rPr>
        <w:t xml:space="preserve">FPNs </w:t>
      </w:r>
      <w:r w:rsidRPr="00376DE9">
        <w:rPr>
          <w:rFonts w:ascii="Times New Roman" w:hAnsi="Times New Roman"/>
        </w:rPr>
        <w:t xml:space="preserve">have been </w:t>
      </w:r>
      <w:r w:rsidRPr="00376DE9">
        <w:rPr>
          <w:rFonts w:ascii="Times New Roman" w:hAnsi="Times New Roman"/>
        </w:rPr>
        <w:t xml:space="preserve">issued </w:t>
      </w:r>
      <w:r w:rsidRPr="00376DE9">
        <w:rPr>
          <w:rFonts w:ascii="Times New Roman" w:hAnsi="Times New Roman"/>
        </w:rPr>
        <w:t xml:space="preserve">disproportionately </w:t>
      </w:r>
      <w:r w:rsidRPr="00376DE9">
        <w:rPr>
          <w:rFonts w:ascii="Times New Roman" w:hAnsi="Times New Roman"/>
        </w:rPr>
        <w:t>to</w:t>
      </w:r>
      <w:r w:rsidRPr="00376DE9">
        <w:rPr>
          <w:rFonts w:ascii="Times New Roman" w:hAnsi="Times New Roman"/>
        </w:rPr>
        <w:t xml:space="preserve"> minority ethnic groups</w:t>
      </w:r>
      <w:r w:rsidRPr="00376DE9">
        <w:rPr>
          <w:rFonts w:ascii="Times New Roman" w:hAnsi="Times New Roman"/>
        </w:rPr>
        <w:t>.</w:t>
      </w:r>
      <w:r w:rsidRPr="00376DE9">
        <w:rPr>
          <w:rFonts w:ascii="Times New Roman" w:hAnsi="Times New Roman"/>
        </w:rPr>
        <w:t xml:space="preserve"> </w:t>
      </w:r>
      <w:r w:rsidRPr="00376DE9">
        <w:rPr>
          <w:rFonts w:ascii="Times New Roman" w:hAnsi="Times New Roman"/>
        </w:rPr>
        <w:t>NPCC sta</w:t>
      </w:r>
      <w:r w:rsidRPr="00376DE9">
        <w:rPr>
          <w:rFonts w:ascii="Times New Roman" w:hAnsi="Times New Roman"/>
        </w:rPr>
        <w:t xml:space="preserve">tistics show that people of </w:t>
      </w:r>
      <w:r w:rsidRPr="00376DE9">
        <w:rPr>
          <w:rFonts w:ascii="Times New Roman" w:hAnsi="Times New Roman"/>
        </w:rPr>
        <w:t xml:space="preserve">a </w:t>
      </w:r>
      <w:r w:rsidRPr="00376DE9">
        <w:rPr>
          <w:rFonts w:ascii="Times New Roman" w:hAnsi="Times New Roman"/>
        </w:rPr>
        <w:t xml:space="preserve">minority </w:t>
      </w:r>
      <w:r w:rsidRPr="00376DE9">
        <w:rPr>
          <w:rFonts w:ascii="Times New Roman" w:hAnsi="Times New Roman"/>
        </w:rPr>
        <w:t xml:space="preserve">ethnic </w:t>
      </w:r>
      <w:r w:rsidRPr="00376DE9">
        <w:rPr>
          <w:rFonts w:ascii="Times New Roman" w:hAnsi="Times New Roman"/>
        </w:rPr>
        <w:t>background have been 1.</w:t>
      </w:r>
      <w:r w:rsidRPr="00376DE9">
        <w:rPr>
          <w:rFonts w:ascii="Times New Roman" w:hAnsi="Times New Roman"/>
        </w:rPr>
        <w:t>6</w:t>
      </w:r>
      <w:r w:rsidRPr="00376DE9">
        <w:rPr>
          <w:rFonts w:ascii="Times New Roman" w:hAnsi="Times New Roman"/>
        </w:rPr>
        <w:t xml:space="preserve"> times more likely to be issued an FPN under the coronavirus regulations than white people.</w:t>
      </w:r>
      <w:r>
        <w:rPr>
          <w:rStyle w:val="FootnoteReference"/>
          <w:rFonts w:ascii="Times New Roman" w:hAnsi="Times New Roman"/>
        </w:rPr>
        <w:footnoteReference w:id="42"/>
      </w:r>
      <w:r w:rsidRPr="00376DE9">
        <w:rPr>
          <w:rFonts w:ascii="Times New Roman" w:hAnsi="Times New Roman"/>
        </w:rPr>
        <w:t xml:space="preserve"> A</w:t>
      </w:r>
      <w:r w:rsidRPr="00376DE9">
        <w:rPr>
          <w:rFonts w:ascii="Times New Roman" w:hAnsi="Times New Roman"/>
        </w:rPr>
        <w:t xml:space="preserve">n </w:t>
      </w:r>
      <w:r w:rsidRPr="00376DE9">
        <w:rPr>
          <w:rFonts w:ascii="Times New Roman" w:hAnsi="Times New Roman"/>
        </w:rPr>
        <w:t>i</w:t>
      </w:r>
      <w:r w:rsidRPr="00376DE9">
        <w:rPr>
          <w:rFonts w:ascii="Times New Roman" w:hAnsi="Times New Roman"/>
        </w:rPr>
        <w:t xml:space="preserve">nvestigation by </w:t>
      </w:r>
      <w:r w:rsidRPr="00376DE9">
        <w:rPr>
          <w:rFonts w:ascii="Times New Roman" w:hAnsi="Times New Roman"/>
          <w:i/>
          <w:iCs/>
        </w:rPr>
        <w:t xml:space="preserve">Liberty </w:t>
      </w:r>
      <w:r w:rsidRPr="00376DE9">
        <w:rPr>
          <w:rFonts w:ascii="Times New Roman" w:hAnsi="Times New Roman"/>
        </w:rPr>
        <w:t>revealed</w:t>
      </w:r>
      <w:r w:rsidRPr="00376DE9">
        <w:rPr>
          <w:rFonts w:ascii="Times New Roman" w:hAnsi="Times New Roman"/>
        </w:rPr>
        <w:t xml:space="preserve"> that,</w:t>
      </w:r>
      <w:r w:rsidRPr="00376DE9">
        <w:rPr>
          <w:rFonts w:ascii="Times New Roman" w:hAnsi="Times New Roman"/>
        </w:rPr>
        <w:t xml:space="preserve"> between March and May 2020, people of an ethnic m</w:t>
      </w:r>
      <w:r w:rsidRPr="00376DE9">
        <w:rPr>
          <w:rFonts w:ascii="Times New Roman" w:hAnsi="Times New Roman"/>
        </w:rPr>
        <w:t>inority background in England were 54</w:t>
      </w:r>
      <w:r w:rsidRPr="00376DE9">
        <w:rPr>
          <w:rFonts w:ascii="Times New Roman" w:hAnsi="Times New Roman"/>
        </w:rPr>
        <w:t xml:space="preserve"> per cent</w:t>
      </w:r>
      <w:r w:rsidRPr="00376DE9">
        <w:rPr>
          <w:rFonts w:ascii="Times New Roman" w:hAnsi="Times New Roman"/>
        </w:rPr>
        <w:t xml:space="preserve"> more likely to be fined under the regulations than white</w:t>
      </w:r>
      <w:r w:rsidRPr="00376DE9">
        <w:rPr>
          <w:rFonts w:ascii="Times New Roman" w:hAnsi="Times New Roman"/>
        </w:rPr>
        <w:t>s</w:t>
      </w:r>
      <w:r w:rsidRPr="00376DE9">
        <w:rPr>
          <w:rFonts w:ascii="Times New Roman" w:hAnsi="Times New Roman"/>
        </w:rPr>
        <w:t>.</w:t>
      </w:r>
      <w:r>
        <w:rPr>
          <w:rStyle w:val="FootnoteReference"/>
          <w:rFonts w:ascii="Times New Roman" w:hAnsi="Times New Roman"/>
        </w:rPr>
        <w:footnoteReference w:id="43"/>
      </w:r>
      <w:r w:rsidRPr="00376DE9">
        <w:rPr>
          <w:rFonts w:ascii="Times New Roman" w:hAnsi="Times New Roman"/>
        </w:rPr>
        <w:t xml:space="preserve"> </w:t>
      </w:r>
      <w:r w:rsidRPr="00376DE9">
        <w:rPr>
          <w:rFonts w:ascii="Times New Roman" w:hAnsi="Times New Roman"/>
        </w:rPr>
        <w:t xml:space="preserve">These </w:t>
      </w:r>
      <w:r w:rsidRPr="00376DE9">
        <w:rPr>
          <w:rFonts w:ascii="Times New Roman" w:hAnsi="Times New Roman"/>
        </w:rPr>
        <w:t xml:space="preserve">data, of course, can be connected to extant evidence on the </w:t>
      </w:r>
      <w:r w:rsidRPr="00376DE9">
        <w:rPr>
          <w:rFonts w:ascii="Times New Roman" w:hAnsi="Times New Roman"/>
        </w:rPr>
        <w:t xml:space="preserve">over-policing </w:t>
      </w:r>
      <w:r w:rsidRPr="00376DE9">
        <w:rPr>
          <w:rFonts w:ascii="Times New Roman" w:hAnsi="Times New Roman"/>
        </w:rPr>
        <w:t xml:space="preserve"> and over-criminalisation </w:t>
      </w:r>
      <w:r w:rsidRPr="00376DE9">
        <w:rPr>
          <w:rFonts w:ascii="Times New Roman" w:hAnsi="Times New Roman"/>
        </w:rPr>
        <w:t>of minority communities</w:t>
      </w:r>
      <w:r w:rsidRPr="00376DE9">
        <w:rPr>
          <w:rFonts w:ascii="Times New Roman" w:hAnsi="Times New Roman"/>
        </w:rPr>
        <w:t>.</w:t>
      </w:r>
      <w:r w:rsidRPr="00376DE9">
        <w:rPr>
          <w:rFonts w:ascii="Times New Roman" w:hAnsi="Times New Roman"/>
        </w:rPr>
        <w:t xml:space="preserve"> The practice of police discretion in the public health context of </w:t>
      </w:r>
      <w:r w:rsidRPr="00376DE9">
        <w:rPr>
          <w:rFonts w:ascii="Times New Roman" w:hAnsi="Times New Roman"/>
        </w:rPr>
        <w:t xml:space="preserve">Covid-19 </w:t>
      </w:r>
      <w:r w:rsidRPr="00376DE9">
        <w:rPr>
          <w:rFonts w:ascii="Times New Roman" w:hAnsi="Times New Roman"/>
        </w:rPr>
        <w:t xml:space="preserve">is </w:t>
      </w:r>
      <w:r w:rsidRPr="00376DE9">
        <w:rPr>
          <w:rFonts w:ascii="Times New Roman" w:hAnsi="Times New Roman"/>
        </w:rPr>
        <w:t xml:space="preserve">inseparable from longer histories </w:t>
      </w:r>
      <w:r w:rsidRPr="00376DE9">
        <w:rPr>
          <w:rFonts w:ascii="Times New Roman" w:hAnsi="Times New Roman"/>
        </w:rPr>
        <w:t xml:space="preserve">documented </w:t>
      </w:r>
      <w:r w:rsidRPr="00376DE9">
        <w:rPr>
          <w:rFonts w:ascii="Times New Roman" w:hAnsi="Times New Roman"/>
        </w:rPr>
        <w:t xml:space="preserve">in criminological literature </w:t>
      </w:r>
      <w:r w:rsidRPr="00376DE9">
        <w:rPr>
          <w:rFonts w:ascii="Times New Roman" w:hAnsi="Times New Roman"/>
        </w:rPr>
        <w:t xml:space="preserve">in respect of </w:t>
      </w:r>
      <w:r w:rsidRPr="00376DE9">
        <w:rPr>
          <w:rFonts w:ascii="Times New Roman" w:hAnsi="Times New Roman"/>
        </w:rPr>
        <w:t xml:space="preserve">the police’s discretionary powers’ </w:t>
      </w:r>
      <w:r w:rsidRPr="00376DE9">
        <w:rPr>
          <w:rFonts w:ascii="Times New Roman" w:hAnsi="Times New Roman"/>
        </w:rPr>
        <w:t xml:space="preserve">and their association with </w:t>
      </w:r>
      <w:r w:rsidRPr="00376DE9">
        <w:rPr>
          <w:rFonts w:ascii="Times New Roman" w:hAnsi="Times New Roman"/>
        </w:rPr>
        <w:t>endemic issues of discrimin</w:t>
      </w:r>
      <w:r w:rsidRPr="00376DE9">
        <w:rPr>
          <w:rFonts w:ascii="Times New Roman" w:hAnsi="Times New Roman"/>
        </w:rPr>
        <w:t>ation and</w:t>
      </w:r>
      <w:r w:rsidRPr="00376DE9">
        <w:rPr>
          <w:rFonts w:ascii="Times New Roman" w:hAnsi="Times New Roman"/>
        </w:rPr>
        <w:t xml:space="preserve"> disproportionate use.</w:t>
      </w:r>
      <w:r w:rsidRPr="00376DE9">
        <w:rPr>
          <w:rFonts w:ascii="Times New Roman" w:hAnsi="Times New Roman"/>
        </w:rPr>
        <w:t xml:space="preserve"> </w:t>
      </w:r>
      <w:r w:rsidRPr="00376DE9">
        <w:rPr>
          <w:rFonts w:ascii="Times New Roman" w:hAnsi="Times New Roman"/>
        </w:rPr>
        <w:t xml:space="preserve">That minority ethnic people find themselves relatively worse off than white people as a result of the policing of Covid-19 </w:t>
      </w:r>
      <w:r w:rsidRPr="00376DE9">
        <w:rPr>
          <w:rFonts w:ascii="Times New Roman" w:hAnsi="Times New Roman"/>
        </w:rPr>
        <w:t xml:space="preserve">regulations exacerbates the </w:t>
      </w:r>
      <w:r w:rsidRPr="00376DE9">
        <w:rPr>
          <w:rFonts w:ascii="Times New Roman" w:hAnsi="Times New Roman"/>
        </w:rPr>
        <w:t xml:space="preserve">already disproportionate </w:t>
      </w:r>
      <w:r w:rsidRPr="00376DE9">
        <w:rPr>
          <w:rFonts w:ascii="Times New Roman" w:hAnsi="Times New Roman"/>
        </w:rPr>
        <w:t>impact of the pandemic on the former communities</w:t>
      </w:r>
      <w:r w:rsidRPr="00376DE9">
        <w:rPr>
          <w:rFonts w:ascii="Times New Roman" w:hAnsi="Times New Roman"/>
        </w:rPr>
        <w:t>.</w:t>
      </w:r>
      <w:r w:rsidRPr="00376DE9">
        <w:rPr>
          <w:rFonts w:ascii="Times New Roman" w:hAnsi="Times New Roman"/>
        </w:rPr>
        <w:t xml:space="preserve"> In other words, these communities have been under</w:t>
      </w:r>
      <w:r w:rsidRPr="00376DE9">
        <w:rPr>
          <w:rFonts w:ascii="Times New Roman" w:hAnsi="Times New Roman"/>
        </w:rPr>
        <w:t>-</w:t>
      </w:r>
      <w:r w:rsidRPr="00376DE9">
        <w:rPr>
          <w:rFonts w:ascii="Times New Roman" w:hAnsi="Times New Roman"/>
        </w:rPr>
        <w:t>protected and overpoliced.</w:t>
      </w:r>
      <w:r>
        <w:rPr>
          <w:rStyle w:val="FootnoteReference"/>
          <w:rFonts w:ascii="Times New Roman" w:hAnsi="Times New Roman"/>
        </w:rPr>
        <w:footnoteReference w:id="44"/>
      </w:r>
    </w:p>
    <w:p w:rsidR="0080727F" w:rsidRPr="00376DE9" w:rsidP="00827077">
      <w:pPr>
        <w:pStyle w:val="Body"/>
        <w:numPr>
          <w:ilvl w:val="0"/>
          <w:numId w:val="13"/>
        </w:numPr>
        <w:ind w:left="0" w:hanging="357"/>
        <w:rPr>
          <w:rFonts w:ascii="Times New Roman" w:hAnsi="Times New Roman"/>
        </w:rPr>
      </w:pPr>
      <w:r w:rsidRPr="00376DE9">
        <w:rPr>
          <w:rFonts w:ascii="Times New Roman" w:hAnsi="Times New Roman"/>
        </w:rPr>
        <w:t>To summarise, the use of FPNs as the principal tool of criminalisation of Covid-19 offences risks unintended criminalisation, may be counterproductive to public health objecti</w:t>
      </w:r>
      <w:r w:rsidRPr="00376DE9">
        <w:rPr>
          <w:rFonts w:ascii="Times New Roman" w:hAnsi="Times New Roman"/>
        </w:rPr>
        <w:t>ves, and may further entrench inequality</w:t>
      </w:r>
      <w:r w:rsidRPr="00376DE9">
        <w:rPr>
          <w:rFonts w:ascii="Times New Roman" w:hAnsi="Times New Roman"/>
        </w:rPr>
        <w:t xml:space="preserve"> and discrimination</w:t>
      </w:r>
      <w:r w:rsidRPr="00376DE9">
        <w:rPr>
          <w:rFonts w:ascii="Times New Roman" w:hAnsi="Times New Roman"/>
        </w:rPr>
        <w:t>.</w:t>
      </w:r>
    </w:p>
    <w:sectPr w:rsidSect="001D00F7">
      <w:footerReference w:type="even" r:id="rId6"/>
      <w:footerReference w:type="default" r:id="rId7"/>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440761384"/>
      <w:docPartObj>
        <w:docPartGallery w:val="Page Numbers (Bottom of Page)"/>
        <w:docPartUnique/>
      </w:docPartObj>
    </w:sdtPr>
    <w:sdtEndPr>
      <w:rPr>
        <w:rStyle w:val="PageNumber"/>
      </w:rPr>
    </w:sdtEndPr>
    <w:sdtContent>
      <w:p w:rsidR="00A1207B" w:rsidP="00841C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1207B" w:rsidP="005322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487721380"/>
      <w:docPartObj>
        <w:docPartGallery w:val="Page Numbers (Bottom of Page)"/>
        <w:docPartUnique/>
      </w:docPartObj>
    </w:sdtPr>
    <w:sdtEndPr>
      <w:rPr>
        <w:rStyle w:val="PageNumber"/>
      </w:rPr>
    </w:sdtEndPr>
    <w:sdtContent>
      <w:p w:rsidR="00A1207B" w:rsidP="00841C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1207B" w:rsidP="005322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908D0" w:rsidP="00C02976">
      <w:r>
        <w:separator/>
      </w:r>
    </w:p>
  </w:footnote>
  <w:footnote w:type="continuationSeparator" w:id="1">
    <w:p w:rsidR="005908D0" w:rsidP="00C02976">
      <w:r>
        <w:continuationSeparator/>
      </w:r>
    </w:p>
  </w:footnote>
  <w:footnote w:id="2">
    <w:p w:rsidR="00711CEB" w:rsidRPr="003C4496" w:rsidP="0019452C">
      <w:pPr>
        <w:pStyle w:val="FootnoteText"/>
        <w:rPr>
          <w:sz w:val="20"/>
        </w:rPr>
      </w:pPr>
      <w:r w:rsidRPr="003C4496">
        <w:rPr>
          <w:rStyle w:val="FootnoteReference"/>
          <w:sz w:val="20"/>
        </w:rPr>
        <w:footnoteRef/>
      </w:r>
      <w:r w:rsidRPr="003C4496">
        <w:rPr>
          <w:sz w:val="20"/>
        </w:rPr>
        <w:t xml:space="preserve"> </w:t>
      </w:r>
      <w:r w:rsidRPr="003C4496">
        <w:rPr>
          <w:sz w:val="20"/>
        </w:rPr>
        <w:fldChar w:fldCharType="begin"/>
      </w:r>
      <w:r w:rsidRPr="003C4496">
        <w:rPr>
          <w:sz w:val="20"/>
        </w:rPr>
        <w:instrText xml:space="preserve"> ADDIN EN.CITE &lt;EndNote&gt;&lt;Cite ExcludeAuth="1"&gt;&lt;Year&gt;2020&lt;/Year&gt;&lt;RecNum&gt;1567&lt;/RecNum&gt;&lt;DisplayText&gt;&lt;style face="italic"&gt;R (Dolan) v Secretary of State for Health and Social Care &lt;/style&gt;[2020] EWCA Civ 1605; &lt;style face="italic"&gt;R (Dolan) v Secretary of Stat</w:instrText>
      </w:r>
      <w:r w:rsidRPr="003C4496">
        <w:rPr>
          <w:sz w:val="20"/>
        </w:rPr>
        <w:instrText>e for Health and Social Care &lt;/style&gt;[2020] EWHC 1786 (Admin)&lt;/DisplayText&gt;&lt;record&gt;&lt;rec-number&gt;1567&lt;/rec-number&gt;&lt;foreign-keys&gt;&lt;key app="EN" db-id="x09zdvrxgxzpx3e2tf1xxswnspd00t99fe2r" timestamp="1617718322"&gt;1567&lt;/key&gt;&lt;/foreign-keys&gt;&lt;ref-type name="Case (i</w:instrText>
      </w:r>
      <w:r w:rsidRPr="003C4496">
        <w:rPr>
          <w:sz w:val="20"/>
        </w:rPr>
        <w:instrText>nc all UK, ECJ and ECtHR cases)"&gt;7&lt;/ref-type&gt;&lt;contributors&gt;&lt;/contributors&gt;&lt;titles&gt;&lt;title&gt;R (Dolan) v Secretary of State for Health and Social Care&lt;/title&gt;&lt;secondary-title&gt;[2020] EWCA Civ 1605&lt;/secondary-title&gt;&lt;/titles&gt;&lt;dates&gt;&lt;year&gt;2020&lt;/year&gt;&lt;/dates&gt;&lt;urls&gt;</w:instrText>
      </w:r>
      <w:r w:rsidRPr="003C4496">
        <w:rPr>
          <w:sz w:val="20"/>
        </w:rPr>
        <w:instrText>&lt;/urls&gt;&lt;/record&gt;&lt;/Cite&gt;&lt;Cite ExcludeAuth="1"&gt;&lt;Year&gt;2020&lt;/Year&gt;&lt;RecNum&gt;1566&lt;/RecNum&gt;&lt;record&gt;&lt;rec-number&gt;1566&lt;/rec-number&gt;&lt;foreign-keys&gt;&lt;key app="EN" db-id="x09zdvrxgxzpx3e2tf1xxswnspd00t99fe2r" timestamp="1617718247"&gt;1566&lt;/key&gt;&lt;/foreign-keys&gt;&lt;ref-type name=</w:instrText>
      </w:r>
      <w:r w:rsidRPr="003C4496">
        <w:rPr>
          <w:sz w:val="20"/>
        </w:rPr>
        <w:instrText>"Case (inc all UK, ECJ and ECtHR cases)"&gt;7&lt;/ref-type&gt;&lt;contributors&gt;&lt;/contributors&gt;&lt;titles&gt;&lt;title&gt;R (Dolan) v Secretary of State for Health and Social Care&lt;/title&gt;&lt;secondary-title&gt;[2020] EWHC 1786&lt;/secondary-title&gt;&lt;/titles&gt;&lt;dates&gt;&lt;year&gt;2020&lt;/year&gt;&lt;/dates&gt;&lt;p</w:instrText>
      </w:r>
      <w:r w:rsidRPr="003C4496">
        <w:rPr>
          <w:sz w:val="20"/>
        </w:rPr>
        <w:instrText>ublisher&gt;Admin&lt;/publisher&gt;&lt;urls&gt;&lt;/urls&gt;&lt;/record&gt;&lt;/Cite&gt;&lt;/EndNote&gt;</w:instrText>
      </w:r>
      <w:r w:rsidRPr="003C4496">
        <w:rPr>
          <w:sz w:val="20"/>
        </w:rPr>
        <w:fldChar w:fldCharType="separate"/>
      </w:r>
      <w:r w:rsidRPr="003C4496">
        <w:rPr>
          <w:i/>
          <w:noProof/>
          <w:sz w:val="20"/>
        </w:rPr>
        <w:t xml:space="preserve">R (Dolan) v Secretary of State for Health and Social Care </w:t>
      </w:r>
      <w:r w:rsidRPr="003C4496">
        <w:rPr>
          <w:noProof/>
          <w:sz w:val="20"/>
        </w:rPr>
        <w:t xml:space="preserve">[2020] EWCA Civ 1605; </w:t>
      </w:r>
      <w:r w:rsidRPr="003C4496">
        <w:rPr>
          <w:i/>
          <w:noProof/>
          <w:sz w:val="20"/>
        </w:rPr>
        <w:t xml:space="preserve">R (Dolan) v Secretary of State for Health and Social Care </w:t>
      </w:r>
      <w:r w:rsidRPr="003C4496">
        <w:rPr>
          <w:noProof/>
          <w:sz w:val="20"/>
        </w:rPr>
        <w:t>[2020] EWHC 1786 (Admin)</w:t>
      </w:r>
      <w:r w:rsidRPr="003C4496">
        <w:rPr>
          <w:sz w:val="20"/>
        </w:rPr>
        <w:fldChar w:fldCharType="end"/>
      </w:r>
      <w:r w:rsidRPr="003C4496">
        <w:rPr>
          <w:sz w:val="20"/>
        </w:rPr>
        <w:t>.</w:t>
      </w:r>
    </w:p>
  </w:footnote>
  <w:footnote w:id="3">
    <w:p w:rsidR="00711CEB" w:rsidRPr="003C4496" w:rsidP="0019452C">
      <w:pPr>
        <w:pStyle w:val="FootnoteText"/>
        <w:rPr>
          <w:sz w:val="20"/>
        </w:rPr>
      </w:pPr>
      <w:r w:rsidRPr="003C4496">
        <w:rPr>
          <w:rStyle w:val="FootnoteReference"/>
          <w:sz w:val="20"/>
        </w:rPr>
        <w:footnoteRef/>
      </w:r>
      <w:r w:rsidRPr="003C4496">
        <w:rPr>
          <w:sz w:val="20"/>
        </w:rPr>
        <w:t xml:space="preserve"> </w:t>
      </w:r>
      <w:r w:rsidRPr="003C4496">
        <w:rPr>
          <w:sz w:val="20"/>
        </w:rPr>
        <w:t xml:space="preserve">See </w:t>
      </w:r>
      <w:r w:rsidRPr="003C4496">
        <w:rPr>
          <w:sz w:val="20"/>
        </w:rPr>
        <w:t>eg</w:t>
      </w:r>
      <w:r w:rsidRPr="003C4496">
        <w:rPr>
          <w:sz w:val="20"/>
        </w:rPr>
        <w:t xml:space="preserve"> </w:t>
      </w:r>
      <w:r w:rsidRPr="003C4496">
        <w:rPr>
          <w:sz w:val="20"/>
        </w:rPr>
        <w:fldChar w:fldCharType="begin"/>
      </w:r>
      <w:r w:rsidRPr="003C4496">
        <w:rPr>
          <w:sz w:val="20"/>
        </w:rPr>
        <w:instrText xml:space="preserve"> ADDIN EN.CITE &lt;EndNote&gt;&lt;Cite ExcludeAuth="1"&gt;&lt;Year&gt;2021&lt;/Year&gt;&lt;RecNum&gt;1568&lt;/RecNum&gt;&lt;Pages&gt;Part 5&lt;/Pages&gt;&lt;DisplayText&gt;The Health Protection (Coronavirus, Restri</w:instrText>
      </w:r>
      <w:r w:rsidRPr="003C4496">
        <w:rPr>
          <w:sz w:val="20"/>
        </w:rPr>
        <w:instrText>ctions) (Steps) (England) Regulations 2021, Part 5&lt;/DisplayText&gt;&lt;record&gt;&lt;rec-number&gt;1568&lt;/rec-number&gt;&lt;foreign-keys&gt;&lt;key app="EN" db-id="x09zdvrxgxzpx3e2tf1xxswnspd00t99fe2r" timestamp="1617718535"&gt;1568&lt;/key&gt;&lt;/foreign-keys&gt;&lt;ref-type name="Statute, SI, EU le</w:instrText>
      </w:r>
      <w:r w:rsidRPr="003C4496">
        <w:rPr>
          <w:sz w:val="20"/>
        </w:rPr>
        <w:instrText>g, Treaties"&gt;31&lt;/ref-type&gt;&lt;contributors&gt;&lt;/contributors&gt;&lt;titles&gt;&lt;title&gt;The Health Protection (Coronavirus, Restrictions) (Steps) (England) Regulations 2021&lt;/title&gt;&lt;/titles&gt;&lt;dates&gt;&lt;year&gt;2021&lt;/year&gt;&lt;/dates&gt;&lt;urls&gt;&lt;/urls&gt;&lt;/record&gt;&lt;/Cite&gt;&lt;/EndNote&gt;</w:instrText>
      </w:r>
      <w:r w:rsidRPr="003C4496">
        <w:rPr>
          <w:sz w:val="20"/>
        </w:rPr>
        <w:fldChar w:fldCharType="separate"/>
      </w:r>
      <w:r w:rsidRPr="003C4496">
        <w:rPr>
          <w:noProof/>
          <w:sz w:val="20"/>
        </w:rPr>
        <w:t>The Health Pro</w:t>
      </w:r>
      <w:r w:rsidRPr="003C4496">
        <w:rPr>
          <w:noProof/>
          <w:sz w:val="20"/>
        </w:rPr>
        <w:t>tection (Coronavirus, Restrictions) (Steps) (England) Regulations 2021, Part 5</w:t>
      </w:r>
      <w:r w:rsidRPr="003C4496">
        <w:rPr>
          <w:sz w:val="20"/>
        </w:rPr>
        <w:fldChar w:fldCharType="end"/>
      </w:r>
      <w:r w:rsidRPr="003C4496">
        <w:rPr>
          <w:sz w:val="20"/>
        </w:rPr>
        <w:t>.</w:t>
      </w:r>
    </w:p>
  </w:footnote>
  <w:footnote w:id="4">
    <w:p w:rsidR="0050395B" w:rsidRPr="003C4496" w:rsidP="0019452C">
      <w:pPr>
        <w:pStyle w:val="FootnoteText"/>
        <w:rPr>
          <w:sz w:val="20"/>
        </w:rPr>
      </w:pPr>
      <w:r w:rsidRPr="003C4496">
        <w:rPr>
          <w:rStyle w:val="FootnoteReference"/>
          <w:sz w:val="20"/>
        </w:rPr>
        <w:footnoteRef/>
      </w:r>
      <w:r w:rsidRPr="003C4496">
        <w:rPr>
          <w:sz w:val="20"/>
        </w:rPr>
        <w:t xml:space="preserve"> </w:t>
      </w:r>
      <w:r w:rsidRPr="003C4496">
        <w:rPr>
          <w:i/>
          <w:iCs/>
          <w:sz w:val="20"/>
        </w:rPr>
        <w:t xml:space="preserve">Dolan </w:t>
      </w:r>
      <w:r w:rsidRPr="003C4496">
        <w:rPr>
          <w:sz w:val="20"/>
        </w:rPr>
        <w:t xml:space="preserve">(CA) </w:t>
      </w:r>
      <w:r w:rsidRPr="003C4496">
        <w:rPr>
          <w:sz w:val="20"/>
        </w:rPr>
        <w:t xml:space="preserve">(n </w:t>
      </w:r>
      <w:r w:rsidRPr="003C4496">
        <w:rPr>
          <w:sz w:val="20"/>
        </w:rPr>
        <w:fldChar w:fldCharType="begin"/>
      </w:r>
      <w:r w:rsidRPr="003C4496">
        <w:rPr>
          <w:sz w:val="20"/>
        </w:rPr>
        <w:instrText xml:space="preserve"> NOTEREF _Ref68615893 \h </w:instrText>
      </w:r>
      <w:r w:rsidRPr="003C4496">
        <w:rPr>
          <w:sz w:val="20"/>
        </w:rPr>
        <w:instrText xml:space="preserve"> \* MERGEFORMAT </w:instrText>
      </w:r>
      <w:r w:rsidRPr="003C4496">
        <w:rPr>
          <w:sz w:val="20"/>
        </w:rPr>
        <w:fldChar w:fldCharType="separate"/>
      </w:r>
      <w:r w:rsidRPr="003C4496">
        <w:rPr>
          <w:sz w:val="20"/>
        </w:rPr>
        <w:t>1</w:t>
      </w:r>
      <w:r w:rsidRPr="003C4496">
        <w:rPr>
          <w:sz w:val="20"/>
        </w:rPr>
        <w:fldChar w:fldCharType="end"/>
      </w:r>
      <w:r w:rsidRPr="003C4496">
        <w:rPr>
          <w:sz w:val="20"/>
        </w:rPr>
        <w:t>)</w:t>
      </w:r>
      <w:r w:rsidRPr="003C4496">
        <w:rPr>
          <w:sz w:val="20"/>
        </w:rPr>
        <w:t xml:space="preserve">; </w:t>
      </w:r>
      <w:r w:rsidRPr="003C4496">
        <w:rPr>
          <w:i/>
          <w:iCs/>
          <w:sz w:val="20"/>
        </w:rPr>
        <w:t>Dolan</w:t>
      </w:r>
      <w:r w:rsidRPr="003C4496">
        <w:rPr>
          <w:sz w:val="20"/>
        </w:rPr>
        <w:t xml:space="preserve"> (Admin) (n </w:t>
      </w:r>
      <w:r w:rsidRPr="003C4496">
        <w:rPr>
          <w:sz w:val="20"/>
        </w:rPr>
        <w:fldChar w:fldCharType="begin"/>
      </w:r>
      <w:r w:rsidRPr="003C4496">
        <w:rPr>
          <w:sz w:val="20"/>
        </w:rPr>
        <w:instrText xml:space="preserve"> NOTEREF _Ref68615893 \h </w:instrText>
      </w:r>
      <w:r w:rsidRPr="003C4496">
        <w:rPr>
          <w:sz w:val="20"/>
        </w:rPr>
        <w:instrText xml:space="preserve"> \* </w:instrText>
      </w:r>
      <w:r w:rsidRPr="003C4496">
        <w:rPr>
          <w:sz w:val="20"/>
        </w:rPr>
        <w:instrText xml:space="preserve">MERGEFORMAT </w:instrText>
      </w:r>
      <w:r w:rsidRPr="003C4496">
        <w:rPr>
          <w:sz w:val="20"/>
        </w:rPr>
        <w:fldChar w:fldCharType="separate"/>
      </w:r>
      <w:r w:rsidRPr="003C4496">
        <w:rPr>
          <w:sz w:val="20"/>
        </w:rPr>
        <w:t>1</w:t>
      </w:r>
      <w:r w:rsidRPr="003C4496">
        <w:rPr>
          <w:sz w:val="20"/>
        </w:rPr>
        <w:fldChar w:fldCharType="end"/>
      </w:r>
      <w:r w:rsidRPr="003C4496">
        <w:rPr>
          <w:sz w:val="20"/>
        </w:rPr>
        <w:t>).</w:t>
      </w:r>
    </w:p>
  </w:footnote>
  <w:footnote w:id="5">
    <w:p w:rsidR="00781C2D" w:rsidRPr="003C4496" w:rsidP="0019452C">
      <w:pPr>
        <w:pStyle w:val="FootnoteText"/>
        <w:rPr>
          <w:sz w:val="20"/>
        </w:rPr>
      </w:pPr>
      <w:r w:rsidRPr="003C4496">
        <w:rPr>
          <w:rStyle w:val="FootnoteReference"/>
          <w:sz w:val="20"/>
        </w:rPr>
        <w:footnoteRef/>
      </w:r>
      <w:r w:rsidRPr="003C4496">
        <w:rPr>
          <w:sz w:val="20"/>
        </w:rPr>
        <w:t xml:space="preserve"> In </w:t>
      </w:r>
      <w:r w:rsidRPr="003C4496">
        <w:rPr>
          <w:i/>
          <w:iCs/>
          <w:sz w:val="20"/>
        </w:rPr>
        <w:t>Dolan</w:t>
      </w:r>
      <w:r w:rsidRPr="003C4496">
        <w:rPr>
          <w:sz w:val="20"/>
        </w:rPr>
        <w:t xml:space="preserve"> (Admin) [77], [95], Lewis J held that interference with articles 8 and 11 ECHR respectively </w:t>
      </w:r>
      <w:r w:rsidRPr="003C4496">
        <w:rPr>
          <w:sz w:val="20"/>
        </w:rPr>
        <w:t xml:space="preserve">caused by coronavirus restrictions </w:t>
      </w:r>
      <w:r w:rsidRPr="003C4496">
        <w:rPr>
          <w:sz w:val="20"/>
        </w:rPr>
        <w:t xml:space="preserve">was </w:t>
      </w:r>
      <w:r w:rsidRPr="003C4496">
        <w:rPr>
          <w:sz w:val="20"/>
        </w:rPr>
        <w:t xml:space="preserve">in accordance with the law because </w:t>
      </w:r>
      <w:r w:rsidRPr="003C4496">
        <w:rPr>
          <w:sz w:val="20"/>
        </w:rPr>
        <w:t xml:space="preserve">it was </w:t>
      </w:r>
      <w:r w:rsidRPr="003C4496">
        <w:rPr>
          <w:sz w:val="20"/>
        </w:rPr>
        <w:t>‘</w:t>
      </w:r>
      <w:r w:rsidRPr="003C4496">
        <w:rPr>
          <w:sz w:val="20"/>
        </w:rPr>
        <w:t>included in Regulations made under</w:t>
      </w:r>
      <w:r w:rsidRPr="003C4496">
        <w:rPr>
          <w:sz w:val="20"/>
        </w:rPr>
        <w:t xml:space="preserve"> </w:t>
      </w:r>
      <w:r w:rsidRPr="003C4496">
        <w:rPr>
          <w:sz w:val="20"/>
        </w:rPr>
        <w:t>powers conferred by an Act of Parliament</w:t>
      </w:r>
      <w:r w:rsidRPr="003C4496">
        <w:rPr>
          <w:sz w:val="20"/>
        </w:rPr>
        <w:t>’</w:t>
      </w:r>
      <w:r w:rsidRPr="003C4496">
        <w:rPr>
          <w:sz w:val="20"/>
        </w:rPr>
        <w:t>.</w:t>
      </w:r>
      <w:r w:rsidRPr="003C4496">
        <w:rPr>
          <w:sz w:val="20"/>
        </w:rPr>
        <w:t xml:space="preserve"> We </w:t>
      </w:r>
      <w:r w:rsidRPr="003C4496">
        <w:rPr>
          <w:sz w:val="20"/>
        </w:rPr>
        <w:t>believe that this issue merits closer attention.</w:t>
      </w:r>
    </w:p>
  </w:footnote>
  <w:footnote w:id="6">
    <w:p w:rsidR="005D2A79" w:rsidRPr="003C4496" w:rsidP="0019452C">
      <w:pPr>
        <w:pStyle w:val="FootnoteText"/>
        <w:rPr>
          <w:sz w:val="20"/>
        </w:rPr>
      </w:pPr>
      <w:r w:rsidRPr="003C4496">
        <w:rPr>
          <w:rStyle w:val="FootnoteReference"/>
          <w:sz w:val="20"/>
        </w:rPr>
        <w:footnoteRef/>
      </w:r>
      <w:r w:rsidRPr="003C4496">
        <w:rPr>
          <w:sz w:val="20"/>
        </w:rPr>
        <w:t xml:space="preserve"> </w:t>
      </w:r>
      <w:r>
        <w:rPr>
          <w:sz w:val="20"/>
        </w:rPr>
        <w:t xml:space="preserve">See eg </w:t>
      </w:r>
      <w:r w:rsidRPr="003C4496">
        <w:rPr>
          <w:sz w:val="20"/>
        </w:rPr>
        <w:fldChar w:fldCharType="begin"/>
      </w:r>
      <w:r w:rsidRPr="003C4496">
        <w:rPr>
          <w:sz w:val="20"/>
        </w:rPr>
        <w:instrText xml:space="preserve"> ADDIN EN.CITE &lt;EndNote&gt;&lt;Cite ExcludeAuth="1"&gt;&lt;Year&gt;2009&lt;/Year&gt;&lt;RecNum&gt;458&lt;/RecNum&gt;&lt;Suffix&gt; (Lord Hope)&lt;/Suffix&gt;&lt;Pages&gt;[40]&lt;/Pages&gt;&lt;DisplayText&gt;&lt;style face="italic"&gt;R (oao Purdy) v DPP &lt;/style&gt;[2009</w:instrText>
      </w:r>
      <w:r w:rsidRPr="003C4496">
        <w:rPr>
          <w:sz w:val="20"/>
        </w:rPr>
        <w:instrText>] UKHL 45 [40] (Lord Hope)&lt;/DisplayText&gt;&lt;record&gt;&lt;rec-number&gt;458&lt;/rec-number&gt;&lt;foreign-keys&gt;&lt;key app="EN" db-id="x09zdvrxgxzpx3e2tf1xxswnspd00t99fe2r" timestamp="1573220140" guid="a8ea8ebc-e47b-4eee-9390-5e584a313892"&gt;458&lt;/key&gt;&lt;/foreign-keys&gt;&lt;ref-type name="</w:instrText>
      </w:r>
      <w:r w:rsidRPr="003C4496">
        <w:rPr>
          <w:sz w:val="20"/>
        </w:rPr>
        <w:instrText>Case (inc all UK, ECJ and ECtHR cases)"&gt;7&lt;/ref-type&gt;&lt;contributors&gt;&lt;/contributors&gt;&lt;titles&gt;&lt;title&gt;R (oao Purdy) v DPP&lt;/title&gt;&lt;secondary-title&gt;[2009] UKHL 45&lt;/secondary-title&gt;&lt;short-title&gt;R (Purdy) v DPP (HL)&lt;/short-title&gt;&lt;/titles&gt;&lt;dates&gt;&lt;year&gt;2009&lt;/year&gt;&lt;/da</w:instrText>
      </w:r>
      <w:r w:rsidRPr="003C4496">
        <w:rPr>
          <w:sz w:val="20"/>
        </w:rPr>
        <w:instrText>tes&gt;&lt;urls&gt;&lt;/urls&gt;&lt;/record&gt;&lt;/Cite&gt;&lt;/EndNote&gt;</w:instrText>
      </w:r>
      <w:r w:rsidRPr="003C4496">
        <w:rPr>
          <w:sz w:val="20"/>
        </w:rPr>
        <w:fldChar w:fldCharType="separate"/>
      </w:r>
      <w:r w:rsidRPr="003C4496">
        <w:rPr>
          <w:i/>
          <w:noProof/>
          <w:sz w:val="20"/>
        </w:rPr>
        <w:t xml:space="preserve">R (oao Purdy) v DPP </w:t>
      </w:r>
      <w:r w:rsidRPr="003C4496">
        <w:rPr>
          <w:noProof/>
          <w:sz w:val="20"/>
        </w:rPr>
        <w:t>[2009] UKHL 45 [40] (Lord Hope)</w:t>
      </w:r>
      <w:r w:rsidRPr="003C4496">
        <w:rPr>
          <w:sz w:val="20"/>
        </w:rPr>
        <w:fldChar w:fldCharType="end"/>
      </w:r>
      <w:r w:rsidRPr="003C4496">
        <w:rPr>
          <w:sz w:val="20"/>
        </w:rPr>
        <w:t>.</w:t>
      </w:r>
    </w:p>
  </w:footnote>
  <w:footnote w:id="7">
    <w:p w:rsidR="00CC0A90" w:rsidRPr="00E621DA" w:rsidP="0019452C">
      <w:pPr>
        <w:pStyle w:val="FootnoteText"/>
        <w:rPr>
          <w:sz w:val="20"/>
        </w:rPr>
      </w:pPr>
      <w:r w:rsidRPr="003C4496">
        <w:rPr>
          <w:rStyle w:val="FootnoteReference"/>
          <w:sz w:val="20"/>
        </w:rPr>
        <w:footnoteRef/>
      </w:r>
      <w:r w:rsidRPr="003C4496">
        <w:rPr>
          <w:sz w:val="20"/>
        </w:rPr>
        <w:t xml:space="preserve"> </w:t>
      </w:r>
      <w:r w:rsidRPr="003C4496">
        <w:rPr>
          <w:sz w:val="20"/>
        </w:rPr>
        <w:fldChar w:fldCharType="begin"/>
      </w:r>
      <w:r w:rsidRPr="003C4496">
        <w:rPr>
          <w:sz w:val="20"/>
        </w:rPr>
        <w:instrText xml:space="preserve"> ADDIN EN.CITE &lt;EndNote&gt;&lt;Cite&gt;&lt;Author&gt;David&lt;/Author&gt;&lt;Year&gt;2020&lt;/Year&gt;&lt;RecNum&gt;1562&lt;/RecNum&gt;&lt;Pages&gt;475&lt;/Pages&gt;&lt;DisplayText&gt;Ormerod David, ‘Coronavirus and emergency powers’ [2020](6) Criminal Law Review 473-477, 475&lt;/DisplayText&gt;&lt;record&gt;&lt;rec-number&gt;1562&lt;/rec</w:instrText>
      </w:r>
      <w:r w:rsidRPr="003C4496">
        <w:rPr>
          <w:sz w:val="20"/>
        </w:rPr>
        <w:instrText>-number&gt;&lt;foreign-keys&gt;&lt;key app="EN" db-id="x09zdvrxgxzpx3e2tf1xxswnspd00t99fe2r" timestamp="1617705373"&gt;1562&lt;/key&gt;&lt;/foreign-keys&gt;&lt;ref-type name="Journal Article"&gt;17&lt;/ref-type&gt;&lt;contributors&gt;&lt;authors&gt;&lt;author&gt;David, Ormerod&lt;/author&gt;&lt;/authors&gt;&lt;/contributors&gt;&lt;t</w:instrText>
      </w:r>
      <w:r w:rsidRPr="003C4496">
        <w:rPr>
          <w:sz w:val="20"/>
        </w:rPr>
        <w:instrText>itles&gt;&lt;title&gt;Coronavirus and emergency powers&lt;/title&gt;&lt;secondary-title&gt;Criminal Law Review&lt;/secondary-title&gt;&lt;/titles&gt;&lt;periodical&gt;&lt;full-title&gt;Criminal Law Review&lt;/full-title&gt;&lt;/periodical&gt;&lt;pages&gt;473-477&lt;/pages&gt;&lt;number&gt;6&lt;/number&gt;&lt;dates&gt;&lt;year&gt;2020&lt;/year&gt;&lt;pub-da</w:instrText>
      </w:r>
      <w:r w:rsidRPr="003C4496">
        <w:rPr>
          <w:sz w:val="20"/>
        </w:rPr>
        <w:instrText>tes&gt;&lt;date&gt;2020/05/06&lt;/date&gt;&lt;/pub-dates&gt;&lt;/dates&gt;&lt;publisher&gt;2020&lt;/publisher&gt;&lt;urls&gt;&lt;related-urls&gt;&lt;url&gt;https://uk.westlaw.com/Document/I1C694B3090BE11EA8521F5E071125B9F/View/FullText.html&lt;/url&gt;&lt;/related-urls&gt;&lt;/urls&gt;&lt;/record&gt;&lt;/Cite&gt;&lt;/EndNote&gt;</w:instrText>
      </w:r>
      <w:r w:rsidRPr="003C4496">
        <w:rPr>
          <w:sz w:val="20"/>
        </w:rPr>
        <w:fldChar w:fldCharType="separate"/>
      </w:r>
      <w:r w:rsidRPr="003C4496">
        <w:rPr>
          <w:noProof/>
          <w:sz w:val="20"/>
        </w:rPr>
        <w:t>Ormerod David, ‘Cor</w:t>
      </w:r>
      <w:r w:rsidRPr="003C4496">
        <w:rPr>
          <w:noProof/>
          <w:sz w:val="20"/>
        </w:rPr>
        <w:t>onavirus and emergency powers’ [2020](6) Criminal Law Review 473-477, 475</w:t>
      </w:r>
      <w:r w:rsidRPr="003C4496">
        <w:rPr>
          <w:sz w:val="20"/>
        </w:rPr>
        <w:fldChar w:fldCharType="end"/>
      </w:r>
      <w:r w:rsidRPr="003C4496">
        <w:rPr>
          <w:sz w:val="20"/>
        </w:rPr>
        <w:t>.</w:t>
      </w:r>
    </w:p>
  </w:footnote>
  <w:footnote w:id="8">
    <w:p w:rsidR="00734AFF" w:rsidRPr="00E621DA" w:rsidP="0019452C">
      <w:pPr>
        <w:pStyle w:val="FootnoteText"/>
        <w:rPr>
          <w:sz w:val="20"/>
        </w:rPr>
      </w:pPr>
      <w:r w:rsidRPr="003C4496">
        <w:rPr>
          <w:rStyle w:val="FootnoteReference"/>
          <w:sz w:val="20"/>
        </w:rPr>
        <w:footnoteRef/>
      </w:r>
      <w:r w:rsidRPr="003C4496">
        <w:rPr>
          <w:sz w:val="20"/>
        </w:rPr>
        <w:t xml:space="preserve"> </w:t>
      </w:r>
      <w:r w:rsidRPr="00E621DA">
        <w:rPr>
          <w:sz w:val="20"/>
        </w:rPr>
        <w:fldChar w:fldCharType="begin"/>
      </w:r>
      <w:r w:rsidRPr="006119F2">
        <w:rPr>
          <w:sz w:val="20"/>
        </w:rPr>
        <w:instrText xml:space="preserve"> ADDIN EN.CITE &lt;EndNote&gt;&lt;Cite&gt;&lt;Author&gt;BBC News&lt;/Author&gt;&lt;Year&gt;11 Jan 2021&lt;/Year&gt;&lt;RecNum&gt;1575&lt;/RecNum&gt;&lt;DisplayText&gt;BBC News, ‘Covid: Women fined for going for a walk receive police apology’ (11 Jan 2021) &lt;style face="underline"&gt;https://www.bbc.co.uk/news/uk-</w:instrText>
      </w:r>
      <w:r w:rsidRPr="006119F2">
        <w:rPr>
          <w:sz w:val="20"/>
        </w:rPr>
        <w:instrText>england-derbyshire-55625062&lt;/style&gt; accessed 21/04/06&lt;/DisplayText&gt;&lt;record&gt;&lt;rec-number&gt;1575&lt;/rec-number&gt;&lt;foreign-keys&gt;&lt;key app="EN" db-id="x09zdvrxgxzpx3e2tf1xxswnspd00t99fe2r" timestamp="1617725834"&gt;1575&lt;/key&gt;&lt;/foreign-keys&gt;&lt;ref-type name="Web Page, Blog"</w:instrText>
      </w:r>
      <w:r w:rsidRPr="006119F2">
        <w:rPr>
          <w:sz w:val="20"/>
        </w:rPr>
        <w:instrText>&gt;12&lt;/ref-type&gt;&lt;contributors&gt;&lt;authors&gt;&lt;author&gt;BBC News,&lt;/author&gt;&lt;/authors&gt;&lt;/contributors&gt;&lt;titles&gt;&lt;title&gt;Covid: Women fined for going for a walk receive police apology&lt;/title&gt;&lt;/titles&gt;&lt;number&gt;21/04/06&lt;/number&gt;&lt;dates&gt;&lt;year&gt;11 Jan 2021&lt;/year&gt;&lt;/dates&gt;&lt;urls&gt;&lt;rel</w:instrText>
      </w:r>
      <w:r w:rsidRPr="006119F2">
        <w:rPr>
          <w:sz w:val="20"/>
        </w:rPr>
        <w:instrText>ated-urls&gt;&lt;url&gt;https://www.bbc.co.uk/news/uk-england-derbyshire-55625062&lt;/url&gt;&lt;/related-urls&gt;&lt;/urls&gt;&lt;/record&gt;&lt;/Cite&gt;&lt;/EndNote&gt;</w:instrText>
      </w:r>
      <w:r w:rsidRPr="00E621DA">
        <w:rPr>
          <w:sz w:val="20"/>
        </w:rPr>
        <w:fldChar w:fldCharType="separate"/>
      </w:r>
      <w:r w:rsidRPr="00E621DA">
        <w:rPr>
          <w:noProof/>
          <w:sz w:val="20"/>
        </w:rPr>
        <w:t>BBC News, ‘Covid: Women fined for going for a walk receive police apology’ (11 Ja</w:t>
      </w:r>
      <w:r w:rsidRPr="006119F2">
        <w:rPr>
          <w:noProof/>
          <w:sz w:val="20"/>
        </w:rPr>
        <w:t xml:space="preserve">n 2021) </w:t>
      </w:r>
      <w:r w:rsidRPr="006119F2">
        <w:rPr>
          <w:noProof/>
          <w:sz w:val="20"/>
          <w:u w:val="single"/>
        </w:rPr>
        <w:t>https://www.bbc.co.uk/news/uk-england-der</w:t>
      </w:r>
      <w:r w:rsidRPr="006119F2">
        <w:rPr>
          <w:noProof/>
          <w:sz w:val="20"/>
          <w:u w:val="single"/>
        </w:rPr>
        <w:t>byshire-55625062</w:t>
      </w:r>
      <w:r>
        <w:rPr>
          <w:noProof/>
          <w:sz w:val="20"/>
        </w:rPr>
        <w:t xml:space="preserve">, </w:t>
      </w:r>
      <w:r w:rsidRPr="006119F2">
        <w:rPr>
          <w:noProof/>
          <w:sz w:val="20"/>
        </w:rPr>
        <w:t>accessed 21/04/06</w:t>
      </w:r>
      <w:r w:rsidRPr="00E621DA">
        <w:rPr>
          <w:sz w:val="20"/>
        </w:rPr>
        <w:fldChar w:fldCharType="end"/>
      </w:r>
      <w:r w:rsidRPr="003C4496">
        <w:rPr>
          <w:sz w:val="20"/>
        </w:rPr>
        <w:t>.</w:t>
      </w:r>
    </w:p>
  </w:footnote>
  <w:footnote w:id="9">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3C4496">
        <w:rPr>
          <w:rStyle w:val="FootnoteReference"/>
          <w:sz w:val="20"/>
          <w:szCs w:val="20"/>
        </w:rPr>
        <w:footnoteRef/>
      </w:r>
      <w:r w:rsidRPr="003C4496">
        <w:rPr>
          <w:sz w:val="20"/>
          <w:szCs w:val="20"/>
        </w:rPr>
        <w:t xml:space="preserve"> </w:t>
      </w:r>
      <w:r w:rsidRPr="00E621DA">
        <w:rPr>
          <w:rFonts w:ascii="Goudy Old Style" w:hAnsi="Goudy Old Style"/>
          <w:color w:val="000000" w:themeColor="text1"/>
          <w:sz w:val="20"/>
          <w:szCs w:val="20"/>
        </w:rPr>
        <w:fldChar w:fldCharType="begin"/>
      </w:r>
      <w:r w:rsidRPr="006119F2">
        <w:rPr>
          <w:rFonts w:ascii="Goudy Old Style" w:hAnsi="Goudy Old Style"/>
          <w:color w:val="000000" w:themeColor="text1"/>
          <w:sz w:val="20"/>
          <w:szCs w:val="20"/>
        </w:rPr>
        <w:instrText xml:space="preserve"> ADDIN EN.CITE </w:instrText>
      </w:r>
      <w:r w:rsidRPr="006119F2">
        <w:rPr>
          <w:rFonts w:ascii="Goudy Old Style" w:hAnsi="Goudy Old Style"/>
          <w:color w:val="000000" w:themeColor="text1"/>
          <w:sz w:val="20"/>
          <w:szCs w:val="20"/>
        </w:rPr>
        <w:fldChar w:fldCharType="begin"/>
      </w:r>
      <w:r w:rsidRPr="006119F2">
        <w:rPr>
          <w:rFonts w:ascii="Goudy Old Style" w:hAnsi="Goudy Old Style"/>
          <w:color w:val="000000" w:themeColor="text1"/>
          <w:sz w:val="20"/>
          <w:szCs w:val="20"/>
        </w:rPr>
        <w:instrText xml:space="preserve"> ADDIN EN.CITE.DATA </w:instrText>
      </w:r>
      <w:r w:rsidRPr="006119F2">
        <w:rPr>
          <w:rFonts w:ascii="Goudy Old Style" w:hAnsi="Goudy Old Style"/>
          <w:color w:val="000000" w:themeColor="text1"/>
          <w:sz w:val="20"/>
          <w:szCs w:val="20"/>
        </w:rPr>
        <w:fldChar w:fldCharType="separate"/>
      </w:r>
      <w:r w:rsidRPr="006119F2">
        <w:rPr>
          <w:rFonts w:ascii="Goudy Old Style" w:hAnsi="Goudy Old Style"/>
          <w:color w:val="000000" w:themeColor="text1"/>
          <w:sz w:val="20"/>
          <w:szCs w:val="20"/>
        </w:rPr>
        <w:fldChar w:fldCharType="end"/>
      </w:r>
      <w:r w:rsidRPr="00E621DA">
        <w:rPr>
          <w:rFonts w:ascii="Goudy Old Style" w:hAnsi="Goudy Old Style"/>
          <w:color w:val="000000" w:themeColor="text1"/>
          <w:sz w:val="20"/>
          <w:szCs w:val="20"/>
        </w:rPr>
        <w:fldChar w:fldCharType="separate"/>
      </w:r>
      <w:r w:rsidRPr="00E621DA">
        <w:rPr>
          <w:rFonts w:ascii="Goudy Old Style" w:hAnsi="Goudy Old Style"/>
          <w:noProof/>
          <w:color w:val="000000" w:themeColor="text1"/>
          <w:sz w:val="20"/>
          <w:szCs w:val="20"/>
        </w:rPr>
        <w:t>Crown Prosecution Service, ‘Coronavirus review findings,  Mar</w:t>
      </w:r>
      <w:r w:rsidRPr="006119F2">
        <w:rPr>
          <w:rFonts w:ascii="Goudy Old Style" w:hAnsi="Goudy Old Style"/>
          <w:noProof/>
          <w:color w:val="000000" w:themeColor="text1"/>
          <w:sz w:val="20"/>
          <w:szCs w:val="20"/>
        </w:rPr>
        <w:t xml:space="preserve"> 2020-Feb 2021’  </w:t>
      </w:r>
      <w:r w:rsidRPr="006119F2">
        <w:rPr>
          <w:rFonts w:ascii="Goudy Old Style" w:hAnsi="Goudy Old Style"/>
          <w:noProof/>
          <w:color w:val="000000" w:themeColor="text1"/>
          <w:sz w:val="20"/>
          <w:szCs w:val="20"/>
          <w:u w:val="single"/>
        </w:rPr>
        <w:t>https://www.cps.gov.uk/cps/news/cps-announces-review-findings-first-200-cases-under-coronavirus-law</w:t>
      </w:r>
      <w:r w:rsidRPr="006119F2">
        <w:rPr>
          <w:rFonts w:ascii="Goudy Old Style" w:hAnsi="Goudy Old Style"/>
          <w:noProof/>
          <w:color w:val="000000" w:themeColor="text1"/>
          <w:sz w:val="20"/>
          <w:szCs w:val="20"/>
          <w:u w:val="single"/>
        </w:rPr>
        <w:t>s</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https://www.cps.gov.uk/cps/news/cps-review-finds-improvements-coronavirus-charging-compliance</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https://www.cps.gov.uk/cps/news/latest-findings-cps-coronavirus-review</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https://www.cps.gov.uk/cps/news/julys-coronavirus-review-findings</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https://www.cps.gov.uk/cps/news/augusts-coronavirus-review-findings</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https://www.cps.gov.uk/cps/news/septembers-coronavirus-review-findings</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https://www.cps.gov.uk/cps/news/octobers-coronavirus-review-findings</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https://www.cps.gov.uk/cps/news/novembers-corona</w:t>
      </w:r>
      <w:r w:rsidRPr="006119F2">
        <w:rPr>
          <w:rFonts w:ascii="Goudy Old Style" w:hAnsi="Goudy Old Style"/>
          <w:noProof/>
          <w:color w:val="000000" w:themeColor="text1"/>
          <w:sz w:val="20"/>
          <w:szCs w:val="20"/>
          <w:u w:val="single"/>
        </w:rPr>
        <w:t>virus-review-findings</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https://www.cps.gov.uk/cps/news/decembers-coronavirus-review-findings</w:t>
      </w:r>
    </w:p>
    <w:p w:rsidR="002C745C" w:rsidRPr="006119F2" w:rsidP="0019452C">
      <w:pPr>
        <w:pStyle w:val="NormalWeb"/>
        <w:spacing w:before="0" w:beforeAutospacing="0" w:after="0" w:afterAutospacing="0"/>
        <w:rPr>
          <w:rFonts w:ascii="Goudy Old Style" w:hAnsi="Goudy Old Style"/>
          <w:noProof/>
          <w:color w:val="000000" w:themeColor="text1"/>
          <w:sz w:val="20"/>
          <w:szCs w:val="20"/>
          <w:u w:val="single"/>
        </w:rPr>
      </w:pPr>
      <w:r w:rsidRPr="006119F2">
        <w:rPr>
          <w:rFonts w:ascii="Goudy Old Style" w:hAnsi="Goudy Old Style"/>
          <w:noProof/>
          <w:color w:val="000000" w:themeColor="text1"/>
          <w:sz w:val="20"/>
          <w:szCs w:val="20"/>
          <w:u w:val="single"/>
        </w:rPr>
        <w:t>https://www.cps.gov.uk/cps/news/januarys-coronavirus-review-findings</w:t>
      </w:r>
    </w:p>
    <w:p w:rsidR="000E237C" w:rsidRPr="006119F2" w:rsidP="0019452C">
      <w:pPr>
        <w:pStyle w:val="NormalWeb"/>
        <w:spacing w:before="0" w:beforeAutospacing="0" w:after="0" w:afterAutospacing="0"/>
        <w:rPr>
          <w:rFonts w:ascii="Goudy Old Style" w:hAnsi="Goudy Old Style"/>
          <w:color w:val="000000" w:themeColor="text1"/>
          <w:sz w:val="20"/>
          <w:szCs w:val="20"/>
        </w:rPr>
      </w:pPr>
      <w:r w:rsidRPr="006119F2">
        <w:rPr>
          <w:rFonts w:ascii="Goudy Old Style" w:hAnsi="Goudy Old Style"/>
          <w:noProof/>
          <w:color w:val="000000" w:themeColor="text1"/>
          <w:sz w:val="20"/>
          <w:szCs w:val="20"/>
          <w:u w:val="single"/>
        </w:rPr>
        <w:t>https://www.cps.gov.uk/cps/news/februarys-coronavirus-review-findings</w:t>
      </w:r>
      <w:r>
        <w:rPr>
          <w:rFonts w:ascii="Goudy Old Style" w:hAnsi="Goudy Old Style"/>
          <w:noProof/>
          <w:color w:val="000000" w:themeColor="text1"/>
          <w:sz w:val="20"/>
          <w:szCs w:val="20"/>
        </w:rPr>
        <w:t xml:space="preserve">, </w:t>
      </w:r>
      <w:r w:rsidRPr="006119F2">
        <w:rPr>
          <w:rFonts w:ascii="Goudy Old Style" w:hAnsi="Goudy Old Style"/>
          <w:noProof/>
          <w:color w:val="000000" w:themeColor="text1"/>
          <w:sz w:val="20"/>
          <w:szCs w:val="20"/>
        </w:rPr>
        <w:t>accessed 21/04/07</w:t>
      </w:r>
      <w:r w:rsidRPr="00E621DA">
        <w:rPr>
          <w:rFonts w:ascii="Goudy Old Style" w:hAnsi="Goudy Old Style"/>
          <w:color w:val="000000" w:themeColor="text1"/>
          <w:sz w:val="20"/>
          <w:szCs w:val="20"/>
        </w:rPr>
        <w:fldChar w:fldCharType="end"/>
      </w:r>
      <w:r>
        <w:rPr>
          <w:rFonts w:ascii="Goudy Old Style" w:hAnsi="Goudy Old Style"/>
          <w:color w:val="000000" w:themeColor="text1"/>
          <w:sz w:val="20"/>
          <w:szCs w:val="20"/>
        </w:rPr>
        <w:t>.</w:t>
      </w:r>
    </w:p>
  </w:footnote>
  <w:footnote w:id="10">
    <w:p w:rsidR="00FF036E"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fldChar w:fldCharType="begin"/>
      </w:r>
      <w:r w:rsidRPr="006119F2">
        <w:rPr>
          <w:sz w:val="20"/>
        </w:rPr>
        <w:instrText xml:space="preserve"> ADDIN EN.CITE &lt;EndNote&gt;&lt;Cite&gt;&lt;Author&gt;de Souza Dias&lt;/Author&gt;&lt;Year&gt;2020&lt;/Year&gt;&lt;RecNum&gt;1563&lt;/RecNum&gt;&lt;Pages&gt;660&lt;/Pages&gt;&lt;DisplayText&gt;Talita de Souza Dias, ‘Accessibility and Foreseeability in the Application of the Principle of Legality under General Internati</w:instrText>
      </w:r>
      <w:r w:rsidRPr="006119F2">
        <w:rPr>
          <w:sz w:val="20"/>
        </w:rPr>
        <w:instrText>onal Law: A Time for Revision?’ (2019) 19(4) Human Rights Law Review 649-674, 660&lt;/DisplayText&gt;&lt;record&gt;&lt;rec-number&gt;1563&lt;/rec-number&gt;&lt;foreign-keys&gt;&lt;key app="EN" db-id="x09zdvrxgxzpx3e2tf1xxswnspd00t99fe2r" timestamp="1617714067"&gt;1563&lt;/key&gt;&lt;/foreign-keys&gt;&lt;re</w:instrText>
      </w:r>
      <w:r w:rsidRPr="006119F2">
        <w:rPr>
          <w:sz w:val="20"/>
        </w:rPr>
        <w:instrText>f-type name="Journal Article"&gt;17&lt;/ref-type&gt;&lt;contributors&gt;&lt;authors&gt;&lt;author&gt;de Souza Dias, Talita&lt;/author&gt;&lt;/authors&gt;&lt;/contributors&gt;&lt;titles&gt;&lt;title&gt;Accessibility and Foreseeability in the Application of the Principle of Legality under General International Law</w:instrText>
      </w:r>
      <w:r w:rsidRPr="006119F2">
        <w:rPr>
          <w:sz w:val="20"/>
        </w:rPr>
        <w:instrText>: A Time for Revision?&lt;/title&gt;&lt;secondary-title&gt;Human Rights Law Review&lt;/secondary-title&gt;&lt;/titles&gt;&lt;periodical&gt;&lt;full-title&gt;Human Rights Law Review&lt;/full-title&gt;&lt;/periodical&gt;&lt;pages&gt;649-674&lt;/pages&gt;&lt;volume&gt;19&lt;/volume&gt;&lt;number&gt;4&lt;/number&gt;&lt;dates&gt;&lt;year&gt;2020&lt;/year&gt;&lt;/d</w:instrText>
      </w:r>
      <w:r w:rsidRPr="006119F2">
        <w:rPr>
          <w:sz w:val="20"/>
        </w:rPr>
        <w:instrText>ates&gt;&lt;pub-location&gt;2019&lt;/pub-location&gt;&lt;isbn&gt;1461-7781&lt;/isbn&gt;&lt;urls&gt;&lt;related-urls&gt;&lt;url&gt;https://doi.org/10.1093/hrlr/ngz029&lt;/url&gt;&lt;/related-urls&gt;&lt;/urls&gt;&lt;electronic-resource-num&gt;10.1093/hrlr/ngz029&lt;/electronic-resource-num&gt;&lt;access-date&gt;4/6/2021&lt;/access-date&gt;&lt;/r</w:instrText>
      </w:r>
      <w:r w:rsidRPr="006119F2">
        <w:rPr>
          <w:sz w:val="20"/>
        </w:rPr>
        <w:instrText>ecord&gt;&lt;/Cite&gt;&lt;/EndNote&gt;</w:instrText>
      </w:r>
      <w:r w:rsidRPr="006119F2">
        <w:rPr>
          <w:sz w:val="20"/>
        </w:rPr>
        <w:fldChar w:fldCharType="separate"/>
      </w:r>
      <w:r w:rsidRPr="006119F2">
        <w:rPr>
          <w:noProof/>
          <w:sz w:val="20"/>
        </w:rPr>
        <w:t>Talita de Souza Dias, ‘Accessibility and Foreseeability in the Application of the Principle of Legality under General International Law: A Time for Revision?’ (2019) 19(4) Human Rights Law Review 649-674, 660</w:t>
      </w:r>
      <w:r w:rsidRPr="006119F2">
        <w:rPr>
          <w:sz w:val="20"/>
        </w:rPr>
        <w:fldChar w:fldCharType="end"/>
      </w:r>
      <w:r w:rsidRPr="00E621DA">
        <w:rPr>
          <w:sz w:val="20"/>
        </w:rPr>
        <w:t>.</w:t>
      </w:r>
    </w:p>
  </w:footnote>
  <w:footnote w:id="11">
    <w:p w:rsidR="00FE69BD" w:rsidRPr="006119F2" w:rsidP="0019452C">
      <w:pPr>
        <w:pStyle w:val="FootnoteText"/>
        <w:rPr>
          <w:sz w:val="20"/>
        </w:rPr>
      </w:pPr>
      <w:r w:rsidRPr="00E621DA">
        <w:rPr>
          <w:rStyle w:val="FootnoteReference"/>
          <w:sz w:val="20"/>
        </w:rPr>
        <w:footnoteRef/>
      </w:r>
      <w:r w:rsidRPr="00E621DA">
        <w:rPr>
          <w:sz w:val="20"/>
        </w:rPr>
        <w:t xml:space="preserve"> See eg </w:t>
      </w:r>
      <w:r w:rsidRPr="006119F2">
        <w:rPr>
          <w:sz w:val="20"/>
        </w:rPr>
        <w:fldChar w:fldCharType="begin"/>
      </w:r>
      <w:r w:rsidRPr="006119F2">
        <w:rPr>
          <w:sz w:val="20"/>
        </w:rPr>
        <w:instrText xml:space="preserve"> ADDIN EN.CITE &lt;EndNote&gt;&lt;Cite ExcludeAuth="1"&gt;&lt;Year&gt;2021&lt;/Year&gt;&lt;RecNum&gt;1568&lt;/RecNum&gt;&lt;Pages&gt;regulation 10(12)&lt;/Pages&gt;&lt;DisplayText&gt;The Health Protection (Coronavirus, Restrictions) (Steps) (England) Regulations 2021, regulation 10(12)&lt;/DisplayText&gt;&lt;record&gt;&lt;r</w:instrText>
      </w:r>
      <w:r w:rsidRPr="006119F2">
        <w:rPr>
          <w:sz w:val="20"/>
        </w:rPr>
        <w:instrText xml:space="preserve">ec-number&gt;1568&lt;/rec-number&gt;&lt;foreign-keys&gt;&lt;key app="EN" db-id="x09zdvrxgxzpx3e2tf1xxswnspd00t99fe2r" timestamp="1617718535"&gt;1568&lt;/key&gt;&lt;/foreign-keys&gt;&lt;ref-type name="Statute, SI, EU leg, Treaties"&gt;31&lt;/ref-type&gt;&lt;contributors&gt;&lt;/contributors&gt;&lt;titles&gt;&lt;title&gt;The </w:instrText>
      </w:r>
      <w:r w:rsidRPr="006119F2">
        <w:rPr>
          <w:sz w:val="20"/>
        </w:rPr>
        <w:instrText>Health Protection (Coronavirus, Restrictions) (Steps) (England) Regulations 2021&lt;/title&gt;&lt;/titles&gt;&lt;dates&gt;&lt;year&gt;2021&lt;/year&gt;&lt;/dates&gt;&lt;urls&gt;&lt;/urls&gt;&lt;/record&gt;&lt;/Cite&gt;&lt;/EndNote&gt;</w:instrText>
      </w:r>
      <w:r w:rsidRPr="006119F2">
        <w:rPr>
          <w:sz w:val="20"/>
        </w:rPr>
        <w:fldChar w:fldCharType="separate"/>
      </w:r>
      <w:r w:rsidRPr="006119F2">
        <w:rPr>
          <w:noProof/>
          <w:sz w:val="20"/>
        </w:rPr>
        <w:t>The Health Protection (Coronavirus, Restrictions) (Steps) (England) Regulations 2021, re</w:t>
      </w:r>
      <w:r w:rsidRPr="006119F2">
        <w:rPr>
          <w:noProof/>
          <w:sz w:val="20"/>
        </w:rPr>
        <w:t>gulation 10(12)</w:t>
      </w:r>
      <w:r w:rsidRPr="006119F2">
        <w:rPr>
          <w:sz w:val="20"/>
        </w:rPr>
        <w:fldChar w:fldCharType="end"/>
      </w:r>
      <w:r w:rsidRPr="00E621DA">
        <w:rPr>
          <w:sz w:val="20"/>
        </w:rPr>
        <w:t>.</w:t>
      </w:r>
    </w:p>
  </w:footnote>
  <w:footnote w:id="12">
    <w:p w:rsidR="003C66DD"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fldChar w:fldCharType="begin"/>
      </w:r>
      <w:r w:rsidRPr="006119F2">
        <w:rPr>
          <w:sz w:val="20"/>
        </w:rPr>
        <w:instrText xml:space="preserve"> ADDIN EN.CITE &lt;EndNote&gt;&lt;Cite&gt;&lt;Author&gt;Hickman&lt;/Author&gt;&lt;Year&gt;2020&lt;/Year&gt;&lt;RecNum&gt;1569&lt;/RecNum&gt;&lt;DisplayText&gt;Tom Hickman, ‘Eight ways to reinforce and revise the lockdown law’ (&lt;style face="italic"&gt;UK Constitutional Law Association Blog&lt;/</w:instrText>
      </w:r>
      <w:r w:rsidRPr="006119F2">
        <w:rPr>
          <w:sz w:val="20"/>
        </w:rPr>
        <w:instrText>style&gt;, 2020) &lt;style face="underline"&gt;https://ukconstitutionallaw.org/2020/04/16/tom-hickman-eight-ways-to-reinforce-and-revise-the-lockdown-law/&lt;/style&gt; accessed 21/04/06&lt;/DisplayText&gt;&lt;record&gt;&lt;rec-number&gt;1569&lt;/rec-number&gt;&lt;foreign-keys&gt;&lt;key app="EN" db-id=</w:instrText>
      </w:r>
      <w:r w:rsidRPr="006119F2">
        <w:rPr>
          <w:sz w:val="20"/>
        </w:rPr>
        <w:instrText>"x09zdvrxgxzpx3e2tf1xxswnspd00t99fe2r" timestamp="1617722908"&gt;1569&lt;/key&gt;&lt;/foreign-keys&gt;&lt;ref-type name="Web Page, Blog"&gt;12&lt;/ref-type&gt;&lt;contributors&gt;&lt;authors&gt;&lt;author&gt;Hickman, Tom&lt;/author&gt;&lt;/authors&gt;&lt;/contributors&gt;&lt;titles&gt;&lt;title&gt;Eight ways to reinforce and revi</w:instrText>
      </w:r>
      <w:r w:rsidRPr="006119F2">
        <w:rPr>
          <w:sz w:val="20"/>
        </w:rPr>
        <w:instrText>se the lockdown law&lt;/title&gt;&lt;/titles&gt;&lt;number&gt;21/04/06&lt;/number&gt;&lt;dates&gt;&lt;year&gt;2020&lt;/year&gt;&lt;/dates&gt;&lt;publisher&gt;UK Constitutional Law Association Blog&lt;/publisher&gt;&lt;urls&gt;&lt;related-urls&gt;&lt;url&gt;https://ukconstitutionallaw.org/2020/04/16/tom-hickman-eight-ways-to-reinforc</w:instrText>
      </w:r>
      <w:r w:rsidRPr="006119F2">
        <w:rPr>
          <w:sz w:val="20"/>
        </w:rPr>
        <w:instrText>e-and-revise-the-lockdown-law/&lt;/url&gt;&lt;/related-urls&gt;&lt;/urls&gt;&lt;/record&gt;&lt;/Cite&gt;&lt;/EndNote&gt;</w:instrText>
      </w:r>
      <w:r w:rsidRPr="006119F2">
        <w:rPr>
          <w:sz w:val="20"/>
        </w:rPr>
        <w:fldChar w:fldCharType="separate"/>
      </w:r>
      <w:r w:rsidRPr="006119F2">
        <w:rPr>
          <w:noProof/>
          <w:sz w:val="20"/>
        </w:rPr>
        <w:t>Tom Hickman, ‘Eight ways to reinforce and revise the lockdown law’ (</w:t>
      </w:r>
      <w:r w:rsidRPr="006119F2">
        <w:rPr>
          <w:i/>
          <w:noProof/>
          <w:sz w:val="20"/>
        </w:rPr>
        <w:t>UK Constitutional Law Association Blog</w:t>
      </w:r>
      <w:r w:rsidRPr="006119F2">
        <w:rPr>
          <w:noProof/>
          <w:sz w:val="20"/>
        </w:rPr>
        <w:t xml:space="preserve">, 2020) </w:t>
      </w:r>
      <w:r w:rsidRPr="006119F2">
        <w:rPr>
          <w:noProof/>
          <w:sz w:val="20"/>
          <w:u w:val="single"/>
        </w:rPr>
        <w:t>https://ukconstitutionallaw.org/2020/04/16/tom-hickman-eig</w:t>
      </w:r>
      <w:r w:rsidRPr="006119F2">
        <w:rPr>
          <w:noProof/>
          <w:sz w:val="20"/>
          <w:u w:val="single"/>
        </w:rPr>
        <w:t>ht-ways-to-reinforce-and-revise-the-lockdown-law/</w:t>
      </w:r>
      <w:r>
        <w:rPr>
          <w:noProof/>
          <w:sz w:val="20"/>
        </w:rPr>
        <w:t xml:space="preserve">, </w:t>
      </w:r>
      <w:r w:rsidRPr="006119F2">
        <w:rPr>
          <w:noProof/>
          <w:sz w:val="20"/>
        </w:rPr>
        <w:t>accessed 21/04/06</w:t>
      </w:r>
      <w:r w:rsidRPr="006119F2">
        <w:rPr>
          <w:sz w:val="20"/>
        </w:rPr>
        <w:fldChar w:fldCharType="end"/>
      </w:r>
      <w:r w:rsidRPr="00E621DA">
        <w:rPr>
          <w:sz w:val="20"/>
        </w:rPr>
        <w:t>.</w:t>
      </w:r>
    </w:p>
  </w:footnote>
  <w:footnote w:id="13">
    <w:p w:rsidR="003B4F73" w:rsidRPr="006119F2" w:rsidP="0019452C">
      <w:pPr>
        <w:pStyle w:val="FootnoteText"/>
        <w:rPr>
          <w:sz w:val="20"/>
        </w:rPr>
      </w:pPr>
      <w:r w:rsidRPr="00E621DA">
        <w:rPr>
          <w:rStyle w:val="FootnoteReference"/>
          <w:sz w:val="20"/>
        </w:rPr>
        <w:footnoteRef/>
      </w:r>
      <w:r w:rsidRPr="00E621DA">
        <w:rPr>
          <w:sz w:val="20"/>
        </w:rPr>
        <w:t xml:space="preserve"> See eg </w:t>
      </w:r>
      <w:r w:rsidRPr="006119F2">
        <w:rPr>
          <w:sz w:val="20"/>
        </w:rPr>
        <w:fldChar w:fldCharType="begin"/>
      </w:r>
      <w:r w:rsidRPr="006119F2">
        <w:rPr>
          <w:sz w:val="20"/>
        </w:rPr>
        <w:instrText xml:space="preserve"> ADDIN EN.CITE &lt;EndNote&gt;&lt;Cite ExcludeAuth="1"&gt;&lt;Year&gt;2020&lt;/Year&gt;&lt;RecNum&gt;1570&lt;/RecNum&gt;&lt;DisplayText&gt;The Health Protection (Coronavirus, Restrictions) (England) Regulations 2020&lt;</w:instrText>
      </w:r>
      <w:r w:rsidRPr="006119F2">
        <w:rPr>
          <w:sz w:val="20"/>
        </w:rPr>
        <w:instrText>/DisplayText&gt;&lt;record&gt;&lt;rec-number&gt;1570&lt;/rec-number&gt;&lt;foreign-keys&gt;&lt;key app="EN" db-id="x09zdvrxgxzpx3e2tf1xxswnspd00t99fe2r" timestamp="1617723101"&gt;1570&lt;/key&gt;&lt;/foreign-keys&gt;&lt;ref-type name="Statute, SI, EU leg, Treaties"&gt;31&lt;/ref-type&gt;&lt;contributors&gt;&lt;/contribut</w:instrText>
      </w:r>
      <w:r w:rsidRPr="006119F2">
        <w:rPr>
          <w:sz w:val="20"/>
        </w:rPr>
        <w:instrText>ors&gt;&lt;titles&gt;&lt;title&gt;The Health Protection (Coronavirus, Restrictions) (England) Regulations 2020&lt;/title&gt;&lt;/titles&gt;&lt;dates&gt;&lt;year&gt;2020&lt;/year&gt;&lt;/dates&gt;&lt;urls&gt;&lt;/urls&gt;&lt;/record&gt;&lt;/Cite&gt;&lt;/EndNote&gt;</w:instrText>
      </w:r>
      <w:r w:rsidRPr="006119F2">
        <w:rPr>
          <w:sz w:val="20"/>
        </w:rPr>
        <w:fldChar w:fldCharType="separate"/>
      </w:r>
      <w:r w:rsidRPr="006119F2">
        <w:rPr>
          <w:noProof/>
          <w:sz w:val="20"/>
        </w:rPr>
        <w:t>The Health Protection (Coronavirus, Restrictions) (England) Regulations 2</w:t>
      </w:r>
      <w:r w:rsidRPr="006119F2">
        <w:rPr>
          <w:noProof/>
          <w:sz w:val="20"/>
        </w:rPr>
        <w:t>020</w:t>
      </w:r>
      <w:r w:rsidRPr="006119F2">
        <w:rPr>
          <w:sz w:val="20"/>
        </w:rPr>
        <w:fldChar w:fldCharType="end"/>
      </w:r>
      <w:r w:rsidRPr="00E621DA">
        <w:rPr>
          <w:sz w:val="20"/>
        </w:rPr>
        <w:t>.</w:t>
      </w:r>
    </w:p>
  </w:footnote>
  <w:footnote w:id="14">
    <w:p w:rsidR="003B4F73"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fldChar w:fldCharType="begin"/>
      </w:r>
      <w:r w:rsidRPr="006119F2">
        <w:rPr>
          <w:sz w:val="20"/>
        </w:rPr>
        <w:instrText xml:space="preserve"> ADDIN EN.CITE &lt;EndNote&gt;&lt;Cite ExcludeAuth="1"&gt;&lt;Year&gt;2020&lt;/Year&gt;&lt;RecNum&gt;1571&lt;/RecNum&gt;&lt;Pages&gt;schedule 1`, para 3(20)&lt;/Pages&gt;&lt;DisplayText&gt;The Health Protection (Coronavirus, Restrictions) (All Tiers) (England) Regulations 2020, schedule 1, para 3(20</w:instrText>
      </w:r>
      <w:r w:rsidRPr="006119F2">
        <w:rPr>
          <w:sz w:val="20"/>
        </w:rPr>
        <w:instrText>)&lt;/DisplayText&gt;&lt;record&gt;&lt;rec-number&gt;1571&lt;/rec-number&gt;&lt;foreign-keys&gt;&lt;key app="EN" db-id="x09zdvrxgxzpx3e2tf1xxswnspd00t99fe2r" timestamp="1617723717"&gt;1571&lt;/key&gt;&lt;/foreign-keys&gt;&lt;ref-type name="Statute, SI, EU leg, Treaties"&gt;31&lt;/ref-type&gt;&lt;contributors&gt;&lt;/contrib</w:instrText>
      </w:r>
      <w:r w:rsidRPr="006119F2">
        <w:rPr>
          <w:sz w:val="20"/>
        </w:rPr>
        <w:instrText>utors&gt;&lt;titles&gt;&lt;title&gt;The Health Protection (Coronavirus, Restrictions) (All Tiers) (England) Regulations 2020&lt;/title&gt;&lt;/titles&gt;&lt;dates&gt;&lt;year&gt;2020&lt;/year&gt;&lt;/dates&gt;&lt;urls&gt;&lt;/urls&gt;&lt;/record&gt;&lt;/Cite&gt;&lt;/EndNote&gt;</w:instrText>
      </w:r>
      <w:r w:rsidRPr="006119F2">
        <w:rPr>
          <w:sz w:val="20"/>
        </w:rPr>
        <w:fldChar w:fldCharType="separate"/>
      </w:r>
      <w:r w:rsidRPr="006119F2">
        <w:rPr>
          <w:noProof/>
          <w:sz w:val="20"/>
        </w:rPr>
        <w:t>The Health Protection (Coronavirus, Restrictions) (All Tier</w:t>
      </w:r>
      <w:r w:rsidRPr="006119F2">
        <w:rPr>
          <w:noProof/>
          <w:sz w:val="20"/>
        </w:rPr>
        <w:t>s) (England) Regulations 2020, schedule 1, para 3(20)</w:t>
      </w:r>
      <w:r w:rsidRPr="006119F2">
        <w:rPr>
          <w:sz w:val="20"/>
        </w:rPr>
        <w:fldChar w:fldCharType="end"/>
      </w:r>
      <w:r w:rsidRPr="00E621DA">
        <w:rPr>
          <w:sz w:val="20"/>
        </w:rPr>
        <w:t xml:space="preserve">; </w:t>
      </w:r>
      <w:r w:rsidRPr="006119F2">
        <w:rPr>
          <w:sz w:val="20"/>
        </w:rPr>
        <w:fldChar w:fldCharType="begin"/>
      </w:r>
      <w:r w:rsidRPr="006119F2">
        <w:rPr>
          <w:sz w:val="20"/>
        </w:rPr>
        <w:instrText xml:space="preserve"> ADDIN EN.CITE &lt;EndNote&gt;&lt;Cite ExcludeAuth="1"&gt;&lt;Year&gt;2021&lt;/Year&gt;&lt;RecNum&gt;1568&lt;/RecNum&gt;&lt;Pages&gt;schedule 1`, para 4(27)&lt;/Pages&gt;&lt;DisplayText&gt;The Health Protection (Coronavirus, Restrictions) (Steps) (Engl</w:instrText>
      </w:r>
      <w:r w:rsidRPr="006119F2">
        <w:rPr>
          <w:sz w:val="20"/>
        </w:rPr>
        <w:instrText>and) Regulations 2021, schedule 1, para 4(27)&lt;/DisplayText&gt;&lt;record&gt;&lt;rec-number&gt;1568&lt;/rec-number&gt;&lt;foreign-keys&gt;&lt;key app="EN" db-id="x09zdvrxgxzpx3e2tf1xxswnspd00t99fe2r" timestamp="1617718535"&gt;1568&lt;/key&gt;&lt;/foreign-keys&gt;&lt;ref-type name="Statute, SI, EU leg, Tr</w:instrText>
      </w:r>
      <w:r w:rsidRPr="006119F2">
        <w:rPr>
          <w:sz w:val="20"/>
        </w:rPr>
        <w:instrText>eaties"&gt;31&lt;/ref-type&gt;&lt;contributors&gt;&lt;/contributors&gt;&lt;titles&gt;&lt;title&gt;The Health Protection (Coronavirus, Restrictions) (Steps) (England) Regulations 2021&lt;/title&gt;&lt;/titles&gt;&lt;dates&gt;&lt;year&gt;2021&lt;/year&gt;&lt;/dates&gt;&lt;urls&gt;&lt;/urls&gt;&lt;/record&gt;&lt;/Cite&gt;&lt;/EndNote&gt;</w:instrText>
      </w:r>
      <w:r w:rsidRPr="006119F2">
        <w:rPr>
          <w:sz w:val="20"/>
        </w:rPr>
        <w:fldChar w:fldCharType="separate"/>
      </w:r>
      <w:r w:rsidRPr="006119F2">
        <w:rPr>
          <w:noProof/>
          <w:sz w:val="20"/>
        </w:rPr>
        <w:t>The Health Protecti</w:t>
      </w:r>
      <w:r w:rsidRPr="006119F2">
        <w:rPr>
          <w:noProof/>
          <w:sz w:val="20"/>
        </w:rPr>
        <w:t>on (Coronavirus, Restrictions) (Steps) (England) Regulations 2021, schedule 1, para 4(27)</w:t>
      </w:r>
      <w:r w:rsidRPr="006119F2">
        <w:rPr>
          <w:sz w:val="20"/>
        </w:rPr>
        <w:fldChar w:fldCharType="end"/>
      </w:r>
      <w:r w:rsidRPr="00E621DA">
        <w:rPr>
          <w:sz w:val="20"/>
        </w:rPr>
        <w:t>.</w:t>
      </w:r>
    </w:p>
  </w:footnote>
  <w:footnote w:id="15">
    <w:p w:rsidR="008D4B18"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fldChar w:fldCharType="begin"/>
      </w:r>
      <w:r w:rsidRPr="006119F2">
        <w:rPr>
          <w:sz w:val="20"/>
        </w:rPr>
        <w:instrText xml:space="preserve"> ADDIN EN.CITE &lt;EndNote&gt;&lt;Cite ExcludeAuth="1"&gt;&lt;Year&gt;2021&lt;/Year&gt;&lt;RecNum&gt;1572&lt;/RecNum&gt;&lt;DisplayText&gt;&lt;style face="italic"&gt;Leigh and others v The Commisioner of the </w:instrText>
      </w:r>
      <w:r w:rsidRPr="006119F2">
        <w:rPr>
          <w:sz w:val="20"/>
        </w:rPr>
        <w:instrText>Police of the Metropolis and others &lt;/style&gt;[2021] EWHC 661 (Admin)&lt;/DisplayText&gt;&lt;record&gt;&lt;rec-number&gt;1572&lt;/rec-number&gt;&lt;foreign-keys&gt;&lt;key app="EN" db-id="x09zdvrxgxzpx3e2tf1xxswnspd00t99fe2r" timestamp="1617724090"&gt;1572&lt;/key&gt;&lt;/foreign-keys&gt;&lt;ref-type name="C</w:instrText>
      </w:r>
      <w:r w:rsidRPr="006119F2">
        <w:rPr>
          <w:sz w:val="20"/>
        </w:rPr>
        <w:instrText>ase (inc all UK, ECJ and ECtHR cases)"&gt;7&lt;/ref-type&gt;&lt;contributors&gt;&lt;/contributors&gt;&lt;titles&gt;&lt;title&gt;Leigh and others v The Commisioner of the Police of the Metropolis and others&lt;/title&gt;&lt;secondary-title&gt;[2021] EWHC 661&lt;/secondary-title&gt;&lt;/titles&gt;&lt;dates&gt;&lt;year&gt;2021</w:instrText>
      </w:r>
      <w:r w:rsidRPr="006119F2">
        <w:rPr>
          <w:sz w:val="20"/>
        </w:rPr>
        <w:instrText>&lt;/year&gt;&lt;/dates&gt;&lt;publisher&gt;Admin&lt;/publisher&gt;&lt;urls&gt;&lt;/urls&gt;&lt;/record&gt;&lt;/Cite&gt;&lt;/EndNote&gt;</w:instrText>
      </w:r>
      <w:r w:rsidRPr="006119F2">
        <w:rPr>
          <w:sz w:val="20"/>
        </w:rPr>
        <w:fldChar w:fldCharType="separate"/>
      </w:r>
      <w:r w:rsidRPr="006119F2">
        <w:rPr>
          <w:i/>
          <w:noProof/>
          <w:sz w:val="20"/>
        </w:rPr>
        <w:t xml:space="preserve">Leigh and others v The Commisioner of the Police of the Metropolis and others </w:t>
      </w:r>
      <w:r w:rsidRPr="006119F2">
        <w:rPr>
          <w:noProof/>
          <w:sz w:val="20"/>
        </w:rPr>
        <w:t>[2021] EWHC 661 (Admin)</w:t>
      </w:r>
      <w:r w:rsidRPr="006119F2">
        <w:rPr>
          <w:sz w:val="20"/>
        </w:rPr>
        <w:fldChar w:fldCharType="end"/>
      </w:r>
      <w:r w:rsidRPr="00E621DA">
        <w:rPr>
          <w:sz w:val="20"/>
        </w:rPr>
        <w:t>.</w:t>
      </w:r>
    </w:p>
  </w:footnote>
  <w:footnote w:id="16">
    <w:p w:rsidR="00723753" w:rsidRPr="006119F2" w:rsidP="0019452C">
      <w:pPr>
        <w:pStyle w:val="FootnoteText"/>
        <w:rPr>
          <w:sz w:val="20"/>
        </w:rPr>
      </w:pPr>
      <w:r w:rsidRPr="00E621DA">
        <w:rPr>
          <w:rStyle w:val="FootnoteReference"/>
          <w:sz w:val="20"/>
        </w:rPr>
        <w:footnoteRef/>
      </w:r>
      <w:r w:rsidRPr="00E621DA">
        <w:rPr>
          <w:sz w:val="20"/>
        </w:rPr>
        <w:t xml:space="preserve"> See eg </w:t>
      </w:r>
      <w:r w:rsidRPr="006119F2">
        <w:rPr>
          <w:sz w:val="20"/>
        </w:rPr>
        <w:fldChar w:fldCharType="begin"/>
      </w:r>
      <w:r w:rsidRPr="006119F2">
        <w:rPr>
          <w:sz w:val="20"/>
        </w:rPr>
        <w:instrText xml:space="preserve"> ADDIN EN.CITE &lt;EndNote&gt;&lt;Cite&gt;&lt;Author&gt;Wagner&lt;/Author&gt;&lt;Year&gt;2021&lt;/Year&gt;&lt;RecNum&gt;1574&lt;/RecNum&gt;&lt;DisplayText&gt;Adam Wagner, ‘Taking liberties: Covid-19 and the anatomy of a constitutional catastrophe’ &lt;style face="italic"&gt;Prospect&lt;/style&gt; (26 March 2021) &lt;style f</w:instrText>
      </w:r>
      <w:r w:rsidRPr="006119F2">
        <w:rPr>
          <w:sz w:val="20"/>
        </w:rPr>
        <w:instrText xml:space="preserve">ace="underline"&gt;https://www.prospectmagazine.co.uk/essays/adam-wagner-covid-lockdown-law-democracy-essay&lt;/style&gt; accessed 2021/04/06&lt;/DisplayText&gt;&lt;record&gt;&lt;rec-number&gt;1574&lt;/rec-number&gt;&lt;foreign-keys&gt;&lt;key app="EN" db-id="x09zdvrxgxzpx3e2tf1xxswnspd00t99fe2r" </w:instrText>
      </w:r>
      <w:r w:rsidRPr="006119F2">
        <w:rPr>
          <w:sz w:val="20"/>
        </w:rPr>
        <w:instrText>timestamp="1617725044"&gt;1574&lt;/key&gt;&lt;/foreign-keys&gt;&lt;ref-type name="Newspaper Article"&gt;23&lt;/ref-type&gt;&lt;contributors&gt;&lt;authors&gt;&lt;author&gt;Wagner, Adam&lt;/author&gt;&lt;/authors&gt;&lt;/contributors&gt;&lt;titles&gt;&lt;title&gt;Taking liberties: Covid-19 and the anatomy of a constitutional catas</w:instrText>
      </w:r>
      <w:r w:rsidRPr="006119F2">
        <w:rPr>
          <w:sz w:val="20"/>
        </w:rPr>
        <w:instrText>trophe&lt;/title&gt;&lt;secondary-title&gt;Prospect&lt;/secondary-title&gt;&lt;/titles&gt;&lt;dates&gt;&lt;year&gt;2021&lt;/year&gt;&lt;pub-dates&gt;&lt;date&gt;26 March 2021&lt;/date&gt;&lt;/pub-dates&gt;&lt;/dates&gt;&lt;urls&gt;&lt;related-urls&gt;&lt;url&gt;https://www.prospectmagazine.co.uk/essays/adam-wagner-covid-lockdown-law-democracy-e</w:instrText>
      </w:r>
      <w:r w:rsidRPr="006119F2">
        <w:rPr>
          <w:sz w:val="20"/>
        </w:rPr>
        <w:instrText>ssay&lt;/url&gt;&lt;/related-urls&gt;&lt;/urls&gt;&lt;access-date&gt;2021/04/06&lt;/access-date&gt;&lt;/record&gt;&lt;/Cite&gt;&lt;/EndNote&gt;</w:instrText>
      </w:r>
      <w:r w:rsidRPr="006119F2">
        <w:rPr>
          <w:sz w:val="20"/>
        </w:rPr>
        <w:fldChar w:fldCharType="separate"/>
      </w:r>
      <w:r w:rsidRPr="006119F2">
        <w:rPr>
          <w:noProof/>
          <w:sz w:val="20"/>
        </w:rPr>
        <w:t xml:space="preserve">Adam Wagner, ‘Taking liberties: </w:t>
      </w:r>
      <w:r w:rsidRPr="006119F2">
        <w:rPr>
          <w:noProof/>
          <w:sz w:val="20"/>
        </w:rPr>
        <w:t>Covid-19</w:t>
      </w:r>
      <w:r w:rsidRPr="006119F2">
        <w:rPr>
          <w:noProof/>
          <w:sz w:val="20"/>
        </w:rPr>
        <w:t xml:space="preserve"> and the anatomy of a constitutional catastrophe’ </w:t>
      </w:r>
      <w:r w:rsidRPr="006119F2">
        <w:rPr>
          <w:i/>
          <w:noProof/>
          <w:sz w:val="20"/>
        </w:rPr>
        <w:t>Prospect</w:t>
      </w:r>
      <w:r w:rsidRPr="006119F2">
        <w:rPr>
          <w:noProof/>
          <w:sz w:val="20"/>
        </w:rPr>
        <w:t xml:space="preserve"> (26 March 2021) </w:t>
      </w:r>
      <w:r w:rsidRPr="006119F2">
        <w:rPr>
          <w:noProof/>
          <w:sz w:val="20"/>
          <w:u w:val="single"/>
        </w:rPr>
        <w:t>https://www.prospectmagazine.co.uk/essays/adam</w:t>
      </w:r>
      <w:r w:rsidRPr="006119F2">
        <w:rPr>
          <w:noProof/>
          <w:sz w:val="20"/>
          <w:u w:val="single"/>
        </w:rPr>
        <w:t>-wagner-covid-lockdown-law-democracy-essay</w:t>
      </w:r>
      <w:r>
        <w:rPr>
          <w:noProof/>
          <w:sz w:val="20"/>
        </w:rPr>
        <w:t xml:space="preserve">, </w:t>
      </w:r>
      <w:r w:rsidRPr="006119F2">
        <w:rPr>
          <w:noProof/>
          <w:sz w:val="20"/>
        </w:rPr>
        <w:t>accessed 21/04/06</w:t>
      </w:r>
      <w:r w:rsidRPr="006119F2">
        <w:rPr>
          <w:sz w:val="20"/>
        </w:rPr>
        <w:fldChar w:fldCharType="end"/>
      </w:r>
      <w:r w:rsidRPr="00E621DA">
        <w:rPr>
          <w:sz w:val="20"/>
        </w:rPr>
        <w:t>.</w:t>
      </w:r>
    </w:p>
  </w:footnote>
  <w:footnote w:id="17">
    <w:p w:rsidR="00734AFF"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t>See eg Daisy Fancourt, Feifei Bu, Hei Wan Mak and Andrew Steptoe, ‘Covid-19 Social Study Results Release 23’ (</w:t>
      </w:r>
      <w:r w:rsidRPr="006119F2">
        <w:rPr>
          <w:i/>
          <w:iCs/>
          <w:sz w:val="20"/>
        </w:rPr>
        <w:t xml:space="preserve">Nuffield Foundation, Wellcome Trust, </w:t>
      </w:r>
      <w:r w:rsidRPr="006119F2">
        <w:rPr>
          <w:sz w:val="20"/>
        </w:rPr>
        <w:t xml:space="preserve">2020) </w:t>
      </w:r>
      <w:r w:rsidRPr="00243D75">
        <w:rPr>
          <w:sz w:val="20"/>
          <w:u w:val="single"/>
        </w:rPr>
        <w:t>https://b6bdcb03-332c-4ff9-8b9d-28f</w:t>
      </w:r>
      <w:r w:rsidRPr="00243D75">
        <w:rPr>
          <w:sz w:val="20"/>
          <w:u w:val="single"/>
        </w:rPr>
        <w:t>9c957493a.filesusr.com/ugd/3d9db5_770e0e1cd00a4f9eace2191ffa65353e.pdf</w:t>
      </w:r>
      <w:r>
        <w:rPr>
          <w:sz w:val="20"/>
        </w:rPr>
        <w:t xml:space="preserve">, </w:t>
      </w:r>
      <w:r w:rsidRPr="00E621DA">
        <w:rPr>
          <w:sz w:val="20"/>
        </w:rPr>
        <w:t>accessed 21/04/06</w:t>
      </w:r>
      <w:r w:rsidRPr="006119F2">
        <w:rPr>
          <w:sz w:val="20"/>
        </w:rPr>
        <w:t>.</w:t>
      </w:r>
    </w:p>
  </w:footnote>
  <w:footnote w:id="18">
    <w:p w:rsidR="000C27A2"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fldChar w:fldCharType="begin"/>
      </w:r>
      <w:r w:rsidRPr="006119F2">
        <w:rPr>
          <w:sz w:val="20"/>
        </w:rPr>
        <w:instrText xml:space="preserve"> ADDIN EN.CITE &lt;EndNote&gt;&lt;Cite&gt;&lt;Author&gt;Deb&lt;/Author&gt;&lt;Year&gt;7 Jan 2021&lt;/Year&gt;&lt;RecNum&gt;1573&lt;/RecNum&gt;&lt;DisplayText&gt;HL Deb, ‘Health Protection (Coronavirus, Restrictions) (</w:instrText>
      </w:r>
      <w:r w:rsidRPr="006119F2">
        <w:rPr>
          <w:sz w:val="20"/>
        </w:rPr>
        <w:instrText>Self-Isolation and Linked Households) (England) Regulations 2020’ 7 Jan 2021, vol 809 col 330 &lt;style face="underline"&gt;https://hansard.parliament.uk/Lords/2021-01-07/debates/A6FB3C66-F27A-43D8-9BDF-7A1B148D6074/HealthProtection(CoronavirusRestrictions)(Self</w:instrText>
      </w:r>
      <w:r w:rsidRPr="006119F2">
        <w:rPr>
          <w:sz w:val="20"/>
        </w:rPr>
        <w:instrText>-IsolationAndLinkedHouseholds)(England)Regulations2020&lt;/style&gt; accessed 2021/04/06&lt;/DisplayText&gt;&lt;record&gt;&lt;rec-number&gt;1573&lt;/rec-number&gt;&lt;foreign-keys&gt;&lt;key app="EN" db-id="x09zdvrxgxzpx3e2tf1xxswnspd00t99fe2r" timestamp="1617724983"&gt;1573&lt;/key&gt;&lt;/foreign-keys&gt;&lt;r</w:instrText>
      </w:r>
      <w:r w:rsidRPr="006119F2">
        <w:rPr>
          <w:sz w:val="20"/>
        </w:rPr>
        <w:instrText>ef-type name="Hansard"&gt;40&lt;/ref-type&gt;&lt;contributors&gt;&lt;authors&gt;&lt;author&gt;HL Deb&lt;/author&gt;&lt;/authors&gt;&lt;/contributors&gt;&lt;titles&gt;&lt;title&gt;Health Protection (Coronavirus, Restrictions) (Self-Isolation and Linked Households) (England) Regulations 2020&lt;/title&gt;&lt;/titles&gt;&lt;pages</w:instrText>
      </w:r>
      <w:r w:rsidRPr="006119F2">
        <w:rPr>
          <w:sz w:val="20"/>
        </w:rPr>
        <w:instrText>&gt;330&lt;/pages&gt;&lt;volume&gt;809&lt;/volume&gt;&lt;dates&gt;&lt;year&gt;7 Jan 2021&lt;/year&gt;&lt;/dates&gt;&lt;urls&gt;&lt;related-urls&gt;&lt;url&gt;https://hansard.parliament.uk/Lords/2021-01-07/debates/A6FB3C66-F27A-43D8-9BDF-7A1B148D6074/HealthProtection(CoronavirusRestrictions)(Self-IsolationAndLinkedHous</w:instrText>
      </w:r>
      <w:r w:rsidRPr="006119F2">
        <w:rPr>
          <w:sz w:val="20"/>
        </w:rPr>
        <w:instrText>eholds)(England)Regulations2020&lt;/url&gt;&lt;/related-urls&gt;&lt;/urls&gt;&lt;access-date&gt;2021/04/06&lt;/access-date&gt;&lt;/record&gt;&lt;/Cite&gt;&lt;/EndNote&gt;</w:instrText>
      </w:r>
      <w:r w:rsidRPr="006119F2">
        <w:rPr>
          <w:sz w:val="20"/>
        </w:rPr>
        <w:fldChar w:fldCharType="separate"/>
      </w:r>
      <w:r w:rsidRPr="006119F2">
        <w:rPr>
          <w:noProof/>
          <w:sz w:val="20"/>
        </w:rPr>
        <w:t xml:space="preserve">HL Deb, ‘Health Protection (Coronavirus, Restrictions) (Self-Isolation and Linked Households) (England) Regulations 2020’ 7 Jan 2021, </w:t>
      </w:r>
      <w:r w:rsidRPr="006119F2">
        <w:rPr>
          <w:noProof/>
          <w:sz w:val="20"/>
        </w:rPr>
        <w:t xml:space="preserve">vol 809 col 330 </w:t>
      </w:r>
      <w:r w:rsidRPr="006119F2">
        <w:rPr>
          <w:noProof/>
          <w:sz w:val="20"/>
          <w:u w:val="single"/>
        </w:rPr>
        <w:t>https://hansard.parliament.uk/Lords/2021-01-07/debates/A6FB3C66-F27A-43D8-9BDF-7A1B148D6074/HealthProtection(CoronavirusRestrictions)(Self-IsolationAndLinkedHouseholds)(England)Regulations2020</w:t>
      </w:r>
      <w:r>
        <w:rPr>
          <w:noProof/>
          <w:sz w:val="20"/>
        </w:rPr>
        <w:t xml:space="preserve">, </w:t>
      </w:r>
      <w:r w:rsidRPr="006119F2">
        <w:rPr>
          <w:noProof/>
          <w:sz w:val="20"/>
        </w:rPr>
        <w:t>accessed 21/04/06</w:t>
      </w:r>
      <w:r w:rsidRPr="006119F2">
        <w:rPr>
          <w:sz w:val="20"/>
        </w:rPr>
        <w:fldChar w:fldCharType="end"/>
      </w:r>
      <w:r w:rsidRPr="00E621DA">
        <w:rPr>
          <w:sz w:val="20"/>
        </w:rPr>
        <w:t>.</w:t>
      </w:r>
    </w:p>
  </w:footnote>
  <w:footnote w:id="19">
    <w:p w:rsidR="003903F3" w:rsidRPr="006119F2" w:rsidP="0019452C">
      <w:pPr>
        <w:pStyle w:val="FootnoteText"/>
        <w:rPr>
          <w:sz w:val="20"/>
        </w:rPr>
      </w:pPr>
      <w:r w:rsidRPr="006119F2">
        <w:rPr>
          <w:rStyle w:val="FootnoteReference"/>
          <w:sz w:val="20"/>
        </w:rPr>
        <w:footnoteRef/>
      </w:r>
      <w:r w:rsidRPr="006119F2">
        <w:rPr>
          <w:sz w:val="20"/>
        </w:rPr>
        <w:t xml:space="preserve"> </w:t>
      </w:r>
      <w:r w:rsidRPr="006119F2">
        <w:rPr>
          <w:sz w:val="20"/>
        </w:rPr>
        <w:t xml:space="preserve">UK </w:t>
      </w:r>
      <w:r w:rsidRPr="006119F2">
        <w:rPr>
          <w:sz w:val="20"/>
        </w:rPr>
        <w:t>Parliament</w:t>
      </w:r>
      <w:r w:rsidRPr="006119F2">
        <w:rPr>
          <w:sz w:val="20"/>
        </w:rPr>
        <w:t xml:space="preserve"> Joint Committee on Human Rights, ‘The Government response to covid-19: freedom of assembly and the right to protest’ 17 Mar 2021, para 65 </w:t>
      </w:r>
      <w:r w:rsidRPr="00243D75">
        <w:rPr>
          <w:sz w:val="20"/>
          <w:u w:val="single"/>
        </w:rPr>
        <w:t>https://publications.parliament.uk/pa/jt5801/jtselect/jtrights/1328/1328.pdf accessed 2021/04/07</w:t>
      </w:r>
      <w:r>
        <w:rPr>
          <w:sz w:val="20"/>
        </w:rPr>
        <w:t xml:space="preserve">, </w:t>
      </w:r>
      <w:r w:rsidRPr="00E621DA">
        <w:rPr>
          <w:sz w:val="20"/>
        </w:rPr>
        <w:t xml:space="preserve">accessed </w:t>
      </w:r>
      <w:r w:rsidRPr="00E621DA">
        <w:rPr>
          <w:sz w:val="20"/>
        </w:rPr>
        <w:t>21/04/07</w:t>
      </w:r>
      <w:r w:rsidRPr="00E621DA">
        <w:rPr>
          <w:sz w:val="20"/>
        </w:rPr>
        <w:t xml:space="preserve">; </w:t>
      </w:r>
      <w:r w:rsidRPr="006119F2">
        <w:rPr>
          <w:sz w:val="20"/>
        </w:rPr>
        <w:t xml:space="preserve">UK Parliament Joint Committee on Human Rights, Oral Evidence (Virtual Proceeding), ‘The Government’s Response to Covid-19: Human Rights Implications of Long Lockdown’, Q35 (24 Feb 2021) </w:t>
      </w:r>
      <w:r w:rsidRPr="00243D75">
        <w:rPr>
          <w:sz w:val="20"/>
          <w:u w:val="single"/>
        </w:rPr>
        <w:t>https://committees.parliament.uk/oralevidence/1751/pdf/</w:t>
      </w:r>
      <w:r>
        <w:rPr>
          <w:sz w:val="20"/>
        </w:rPr>
        <w:t xml:space="preserve">, </w:t>
      </w:r>
      <w:r w:rsidRPr="006119F2">
        <w:rPr>
          <w:sz w:val="20"/>
        </w:rPr>
        <w:t>acc</w:t>
      </w:r>
      <w:r w:rsidRPr="006119F2">
        <w:rPr>
          <w:sz w:val="20"/>
        </w:rPr>
        <w:t>essed 21/04/07.</w:t>
      </w:r>
    </w:p>
  </w:footnote>
  <w:footnote w:id="20">
    <w:p w:rsidR="00FB13BC"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fldChar w:fldCharType="begin"/>
      </w:r>
      <w:r w:rsidRPr="006119F2">
        <w:rPr>
          <w:sz w:val="20"/>
        </w:rPr>
        <w:instrText xml:space="preserve"> ADDIN EN.CITE &lt;EndNote&gt;&lt;Cite ExcludeAuth="1"&gt;&lt;Year&gt;1984&lt;/Year&gt;&lt;RecNum&gt;138&lt;/RecNum&gt;&lt;Pages&gt;s 45R&lt;/Pages&gt;&lt;DisplayText&gt;Public Health (Control of Disease) Act 1984, s 45R&lt;/DisplayText&gt;&lt;record&gt;&lt;rec-number&gt;138&lt;/rec-number&gt;&lt;foreign-keys&gt;&lt;key app</w:instrText>
      </w:r>
      <w:r w:rsidRPr="006119F2">
        <w:rPr>
          <w:sz w:val="20"/>
        </w:rPr>
        <w:instrText>="EN" db-id="x09zdvrxgxzpx3e2tf1xxswnspd00t99fe2r" timestamp="1573220139" guid="f6c89293-ecd2-4715-8ae2-175457f8db61"&gt;138&lt;/key&gt;&lt;/foreign-keys&gt;&lt;ref-type name="Statute, SI, EU leg, Treaties"&gt;31&lt;/ref-type&gt;&lt;contributors&gt;&lt;/contributors&gt;&lt;titles&gt;&lt;title&gt;Public Hea</w:instrText>
      </w:r>
      <w:r w:rsidRPr="006119F2">
        <w:rPr>
          <w:sz w:val="20"/>
        </w:rPr>
        <w:instrText>lth (Control of Disease) Act 1984&lt;/title&gt;&lt;/titles&gt;&lt;dates&gt;&lt;year&gt;1984&lt;/year&gt;&lt;/dates&gt;&lt;urls&gt;&lt;/urls&gt;&lt;/record&gt;&lt;/Cite&gt;&lt;/EndNote&gt;</w:instrText>
      </w:r>
      <w:r w:rsidRPr="006119F2">
        <w:rPr>
          <w:sz w:val="20"/>
        </w:rPr>
        <w:fldChar w:fldCharType="separate"/>
      </w:r>
      <w:r w:rsidRPr="006119F2">
        <w:rPr>
          <w:noProof/>
          <w:sz w:val="20"/>
        </w:rPr>
        <w:t>Public Health (Control of Disease) Act 1984, s 45R</w:t>
      </w:r>
      <w:r w:rsidRPr="006119F2">
        <w:rPr>
          <w:sz w:val="20"/>
        </w:rPr>
        <w:fldChar w:fldCharType="end"/>
      </w:r>
      <w:r w:rsidRPr="00E621DA">
        <w:rPr>
          <w:sz w:val="20"/>
        </w:rPr>
        <w:t>.</w:t>
      </w:r>
    </w:p>
  </w:footnote>
  <w:footnote w:id="21">
    <w:p w:rsidR="00212028"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t xml:space="preserve">See eg Tweets from the Hansard Society (@HansardSociety) </w:t>
      </w:r>
      <w:r w:rsidRPr="00243D75">
        <w:rPr>
          <w:sz w:val="20"/>
          <w:u w:val="single"/>
        </w:rPr>
        <w:t>https://twitter.com/H</w:t>
      </w:r>
      <w:r w:rsidRPr="00243D75">
        <w:rPr>
          <w:sz w:val="20"/>
          <w:u w:val="single"/>
        </w:rPr>
        <w:t xml:space="preserve">ansardSociety/status/1260239129130029056?s=20; https://twitter.com/HansardSociety/status/1267093207332126720?s=20; </w:t>
      </w:r>
      <w:r w:rsidRPr="00243D75">
        <w:rPr>
          <w:sz w:val="20"/>
          <w:u w:val="single"/>
        </w:rPr>
        <w:t>https://twitter.com/HansardSociety/status/1333435986957787136?s=20</w:t>
      </w:r>
      <w:r w:rsidRPr="00E621DA">
        <w:rPr>
          <w:sz w:val="20"/>
        </w:rPr>
        <w:t>.</w:t>
      </w:r>
    </w:p>
  </w:footnote>
  <w:footnote w:id="22">
    <w:p w:rsidR="00043BF6" w:rsidRPr="006119F2" w:rsidP="0019452C">
      <w:pPr>
        <w:pStyle w:val="FootnoteText"/>
        <w:rPr>
          <w:sz w:val="20"/>
        </w:rPr>
      </w:pPr>
      <w:r w:rsidRPr="00E621DA">
        <w:rPr>
          <w:rStyle w:val="FootnoteReference"/>
          <w:sz w:val="20"/>
        </w:rPr>
        <w:footnoteRef/>
      </w:r>
      <w:r w:rsidRPr="00E621DA">
        <w:rPr>
          <w:sz w:val="20"/>
        </w:rPr>
        <w:t xml:space="preserve"> </w:t>
      </w:r>
      <w:r w:rsidRPr="006119F2">
        <w:rPr>
          <w:sz w:val="20"/>
        </w:rPr>
        <w:t xml:space="preserve">National Police Chief’s Council, ‘Analysis of coronavirus fines published’ </w:t>
      </w:r>
      <w:r w:rsidRPr="00243D75">
        <w:rPr>
          <w:sz w:val="20"/>
          <w:u w:val="single"/>
        </w:rPr>
        <w:t>https://news.npcc.police.uk/releases/independent-analysis-of-coronavirus-fines-published</w:t>
      </w:r>
      <w:r>
        <w:rPr>
          <w:sz w:val="20"/>
        </w:rPr>
        <w:t xml:space="preserve">, </w:t>
      </w:r>
      <w:r w:rsidRPr="00E621DA">
        <w:rPr>
          <w:sz w:val="20"/>
        </w:rPr>
        <w:t>a</w:t>
      </w:r>
      <w:r>
        <w:rPr>
          <w:sz w:val="20"/>
        </w:rPr>
        <w:t>cc</w:t>
      </w:r>
      <w:r w:rsidRPr="00E621DA">
        <w:rPr>
          <w:sz w:val="20"/>
        </w:rPr>
        <w:t>essed 21/04/07;</w:t>
      </w:r>
      <w:r w:rsidRPr="006119F2">
        <w:rPr>
          <w:sz w:val="20"/>
        </w:rPr>
        <w:t xml:space="preserve"> Birmingham Mail, ‘Ethnic minorities and young people disproportionately </w:t>
      </w:r>
      <w:r w:rsidRPr="006119F2">
        <w:rPr>
          <w:sz w:val="20"/>
        </w:rPr>
        <w:t xml:space="preserve">fined by police targeting Covid rulebreakers’ (20 Jan 2021) </w:t>
      </w:r>
      <w:r w:rsidRPr="00243D75">
        <w:rPr>
          <w:sz w:val="20"/>
          <w:u w:val="single"/>
        </w:rPr>
        <w:t>https://www.birminghammail.co.uk/news/midlands-news/ethnic-minorities-young-people-disproportionately-19663975</w:t>
      </w:r>
      <w:r>
        <w:rPr>
          <w:sz w:val="20"/>
        </w:rPr>
        <w:t xml:space="preserve">, </w:t>
      </w:r>
      <w:r w:rsidRPr="00E621DA">
        <w:rPr>
          <w:sz w:val="20"/>
        </w:rPr>
        <w:t>accessed 21/04/07</w:t>
      </w:r>
      <w:r>
        <w:rPr>
          <w:sz w:val="20"/>
        </w:rPr>
        <w:t>.</w:t>
      </w:r>
    </w:p>
  </w:footnote>
  <w:footnote w:id="23">
    <w:p w:rsidR="00043BF6" w:rsidRPr="006119F2" w:rsidP="0019452C">
      <w:pPr>
        <w:pStyle w:val="FootnoteText"/>
        <w:rPr>
          <w:sz w:val="20"/>
        </w:rPr>
      </w:pPr>
      <w:r w:rsidRPr="006119F2">
        <w:rPr>
          <w:rStyle w:val="FootnoteReference"/>
          <w:sz w:val="20"/>
        </w:rPr>
        <w:footnoteRef/>
      </w:r>
      <w:r w:rsidRPr="006119F2">
        <w:rPr>
          <w:sz w:val="20"/>
        </w:rPr>
        <w:t xml:space="preserve"> See eg </w:t>
      </w:r>
      <w:r w:rsidRPr="00E621DA">
        <w:rPr>
          <w:sz w:val="20"/>
        </w:rPr>
        <w:t>Liberty, ‘</w:t>
      </w:r>
      <w:r w:rsidRPr="006119F2">
        <w:rPr>
          <w:sz w:val="20"/>
        </w:rPr>
        <w:t>Pandemic of Police Powers: Liberty reveals sca</w:t>
      </w:r>
      <w:r w:rsidRPr="006119F2">
        <w:rPr>
          <w:sz w:val="20"/>
        </w:rPr>
        <w:t xml:space="preserve">le of misuse of police powers under lockdown’ (27 Jul 2020) </w:t>
      </w:r>
      <w:r w:rsidRPr="00243D75">
        <w:rPr>
          <w:sz w:val="20"/>
          <w:u w:val="single"/>
        </w:rPr>
        <w:t>https://www.libertyhumanrights.org.uk/issue/pandemic-of-police-powers-liberty-reveals-scale-of-misuse-of-police-powers-under-lockdown/</w:t>
      </w:r>
      <w:r>
        <w:rPr>
          <w:sz w:val="20"/>
        </w:rPr>
        <w:t xml:space="preserve">, </w:t>
      </w:r>
      <w:r w:rsidRPr="00E621DA">
        <w:rPr>
          <w:sz w:val="20"/>
        </w:rPr>
        <w:t>accessed 21/04/07;</w:t>
      </w:r>
      <w:r w:rsidRPr="006119F2">
        <w:rPr>
          <w:sz w:val="20"/>
        </w:rPr>
        <w:t xml:space="preserve"> BBC News, ‘Coronavirus: Lord Sumption bra</w:t>
      </w:r>
      <w:r w:rsidRPr="006119F2">
        <w:rPr>
          <w:sz w:val="20"/>
        </w:rPr>
        <w:t xml:space="preserve">nds Derbyshire Police </w:t>
      </w:r>
      <w:r w:rsidRPr="006119F2">
        <w:rPr>
          <w:sz w:val="20"/>
        </w:rPr>
        <w:t>“</w:t>
      </w:r>
      <w:r w:rsidRPr="006119F2">
        <w:rPr>
          <w:sz w:val="20"/>
        </w:rPr>
        <w:t>disgraceful</w:t>
      </w:r>
      <w:r w:rsidRPr="006119F2">
        <w:rPr>
          <w:sz w:val="20"/>
        </w:rPr>
        <w:t>”</w:t>
      </w:r>
      <w:r w:rsidRPr="006119F2">
        <w:rPr>
          <w:sz w:val="20"/>
        </w:rPr>
        <w:t xml:space="preserve">’ </w:t>
      </w:r>
      <w:r w:rsidRPr="00FB5EFD">
        <w:rPr>
          <w:sz w:val="20"/>
          <w:u w:val="single"/>
        </w:rPr>
        <w:t>https://www.bbc.co.uk/news/uk-england-derbyshire-52095857</w:t>
      </w:r>
      <w:r>
        <w:rPr>
          <w:sz w:val="20"/>
        </w:rPr>
        <w:t xml:space="preserve">, </w:t>
      </w:r>
      <w:r w:rsidRPr="00E621DA">
        <w:rPr>
          <w:sz w:val="20"/>
        </w:rPr>
        <w:t>accessed 21/04/07</w:t>
      </w:r>
      <w:r w:rsidRPr="00E621DA">
        <w:rPr>
          <w:sz w:val="20"/>
        </w:rPr>
        <w:t xml:space="preserve">; </w:t>
      </w:r>
      <w:r w:rsidRPr="006119F2">
        <w:rPr>
          <w:sz w:val="20"/>
        </w:rPr>
        <w:t>Huffington Post, ‘</w:t>
      </w:r>
      <w:r w:rsidRPr="006119F2">
        <w:rPr>
          <w:sz w:val="20"/>
        </w:rPr>
        <w:t>“</w:t>
      </w:r>
      <w:r w:rsidRPr="006119F2">
        <w:rPr>
          <w:sz w:val="20"/>
        </w:rPr>
        <w:t>Power Hungry</w:t>
      </w:r>
      <w:r w:rsidRPr="006119F2">
        <w:rPr>
          <w:sz w:val="20"/>
        </w:rPr>
        <w:t>”</w:t>
      </w:r>
      <w:r w:rsidRPr="006119F2">
        <w:rPr>
          <w:sz w:val="20"/>
        </w:rPr>
        <w:t xml:space="preserve"> Police Officer Caught On Video Abusing Covid Laws’ </w:t>
      </w:r>
      <w:r w:rsidRPr="00FB5EFD">
        <w:rPr>
          <w:sz w:val="20"/>
          <w:u w:val="single"/>
        </w:rPr>
        <w:t>https://www.huffingtonpost.co.uk/entry/west-midlands-poli</w:t>
      </w:r>
      <w:r w:rsidRPr="00FB5EFD">
        <w:rPr>
          <w:sz w:val="20"/>
          <w:u w:val="single"/>
        </w:rPr>
        <w:t>ce-solihull-video-abuse-covid_uk_6013d684c5b6bde2f5be53b3</w:t>
      </w:r>
      <w:r>
        <w:rPr>
          <w:sz w:val="20"/>
        </w:rPr>
        <w:t xml:space="preserve">, </w:t>
      </w:r>
      <w:r w:rsidRPr="00E621DA">
        <w:rPr>
          <w:sz w:val="20"/>
        </w:rPr>
        <w:t>accessed 21/04/07</w:t>
      </w:r>
      <w:r>
        <w:rPr>
          <w:sz w:val="20"/>
        </w:rPr>
        <w:t>.</w:t>
      </w:r>
    </w:p>
  </w:footnote>
  <w:footnote w:id="24">
    <w:p w:rsidR="00705F50" w:rsidRPr="00E621DA" w:rsidP="0019452C">
      <w:pPr>
        <w:pStyle w:val="FootnoteText"/>
        <w:rPr>
          <w:sz w:val="20"/>
        </w:rPr>
      </w:pPr>
      <w:r w:rsidRPr="00E621DA">
        <w:rPr>
          <w:rStyle w:val="FootnoteReference"/>
          <w:sz w:val="20"/>
        </w:rPr>
        <w:footnoteRef/>
      </w:r>
      <w:r w:rsidRPr="00E621DA">
        <w:rPr>
          <w:sz w:val="20"/>
        </w:rPr>
        <w:t xml:space="preserve"> </w:t>
      </w:r>
      <w:r w:rsidRPr="00E621DA">
        <w:rPr>
          <w:sz w:val="20"/>
        </w:rPr>
        <w:fldChar w:fldCharType="begin"/>
      </w:r>
      <w:r w:rsidRPr="006119F2">
        <w:rPr>
          <w:sz w:val="20"/>
        </w:rPr>
        <w:instrText xml:space="preserve"> ADDIN EN.CITE &lt;EndNote&gt;&lt;Cite ExcludeAuth="1"&gt;&lt;Year&gt;1984&lt;/Year&gt;&lt;RecNum&gt;138&lt;/RecNum&gt;&lt;Pages&gt;s 45R(4)&lt;/Pages&gt;&lt;DisplayText&gt;Public Health (Control of Disease) Act 1984, s 45R(4)&lt;/DisplayText&gt;&lt;record&gt;&lt;rec-number&gt;138&lt;/rec-number&gt;&lt;foreign-keys&gt;&lt;key app="EN" db-id=</w:instrText>
      </w:r>
      <w:r w:rsidRPr="006119F2">
        <w:rPr>
          <w:sz w:val="20"/>
        </w:rPr>
        <w:instrText>"x09zdvrxgxzpx3e2tf1xxswnspd00t99fe2r" timestamp="1573220139" guid="f6c89293-ecd2-4715-8ae2-175457f8db61"&gt;138&lt;/key&gt;&lt;/foreign-keys&gt;&lt;ref-type name="Statute, SI, EU leg, Treaties"&gt;31&lt;/ref-type&gt;&lt;contributors&gt;&lt;/contributors&gt;&lt;titles&gt;&lt;title&gt;Public Health (Control</w:instrText>
      </w:r>
      <w:r w:rsidRPr="006119F2">
        <w:rPr>
          <w:sz w:val="20"/>
        </w:rPr>
        <w:instrText xml:space="preserve"> of Disease) Act 1984&lt;/title&gt;&lt;/titles&gt;&lt;dates&gt;&lt;year&gt;1984&lt;/year&gt;&lt;/dates&gt;&lt;urls&gt;&lt;/urls&gt;&lt;/record&gt;&lt;/Cite&gt;&lt;/EndNote&gt;</w:instrText>
      </w:r>
      <w:r w:rsidRPr="00E621DA">
        <w:rPr>
          <w:sz w:val="20"/>
        </w:rPr>
        <w:fldChar w:fldCharType="separate"/>
      </w:r>
      <w:r w:rsidRPr="00E621DA">
        <w:rPr>
          <w:noProof/>
          <w:sz w:val="20"/>
        </w:rPr>
        <w:t>Public Health (Control of Disease) Act 1984, s 45R(4)</w:t>
      </w:r>
      <w:r w:rsidRPr="00E621DA">
        <w:rPr>
          <w:sz w:val="20"/>
        </w:rPr>
        <w:fldChar w:fldCharType="end"/>
      </w:r>
      <w:r w:rsidRPr="00E621DA">
        <w:rPr>
          <w:sz w:val="20"/>
        </w:rPr>
        <w:t>.</w:t>
      </w:r>
    </w:p>
  </w:footnote>
  <w:footnote w:id="25">
    <w:p w:rsidR="00D97CEC" w:rsidRPr="00E621DA" w:rsidP="0019452C">
      <w:pPr>
        <w:pStyle w:val="FootnoteText"/>
        <w:rPr>
          <w:sz w:val="20"/>
        </w:rPr>
      </w:pPr>
      <w:r w:rsidRPr="00E621DA">
        <w:rPr>
          <w:rStyle w:val="FootnoteReference"/>
          <w:sz w:val="20"/>
        </w:rPr>
        <w:footnoteRef/>
      </w:r>
      <w:r w:rsidRPr="00E621DA">
        <w:rPr>
          <w:sz w:val="20"/>
        </w:rPr>
        <w:t xml:space="preserve"> </w:t>
      </w:r>
      <w:r w:rsidRPr="00E621DA">
        <w:rPr>
          <w:sz w:val="20"/>
        </w:rPr>
        <w:fldChar w:fldCharType="begin"/>
      </w:r>
      <w:r w:rsidRPr="006119F2">
        <w:rPr>
          <w:sz w:val="20"/>
        </w:rPr>
        <w:instrText xml:space="preserve"> ADDIN EN.CITE &lt;EndNote&gt;&lt;Cite ExcludeYear="1"&gt;&lt;Author&gt;Hansard Society&lt;/Author&gt;&lt;RecNum&gt;1576&lt;/RecNum&gt;&lt;DisplayText&gt;Hansard Society, ‘Coronavirus Statutory Instruments Dashboard’  &lt;style face="underline"&gt;https://www.hansardsociety.org.uk/publications/data/coro</w:instrText>
      </w:r>
      <w:r w:rsidRPr="006119F2">
        <w:rPr>
          <w:sz w:val="20"/>
        </w:rPr>
        <w:instrText>navirus-statutory-instruments-dashboard&lt;/style&gt; accessed 21/04/06&lt;/DisplayText&gt;&lt;record&gt;&lt;rec-number&gt;1576&lt;/rec-number&gt;&lt;foreign-keys&gt;&lt;key app="EN" db-id="x09zdvrxgxzpx3e2tf1xxswnspd00t99fe2r" timestamp="1617729973"&gt;1576&lt;/key&gt;&lt;/foreign-keys&gt;&lt;ref-type name="Web</w:instrText>
      </w:r>
      <w:r w:rsidRPr="006119F2">
        <w:rPr>
          <w:sz w:val="20"/>
        </w:rPr>
        <w:instrText xml:space="preserve"> Page, Blog"&gt;12&lt;/ref-type&gt;&lt;contributors&gt;&lt;authors&gt;&lt;author&gt;Hansard Society,&lt;/author&gt;&lt;/authors&gt;&lt;/contributors&gt;&lt;titles&gt;&lt;title&gt;Coronavirus Statutory Instruments Dashboard&lt;/title&gt;&lt;/titles&gt;&lt;number&gt;21/04/06&lt;/number&gt;&lt;dates&gt;&lt;/dates&gt;&lt;urls&gt;&lt;related-urls&gt;&lt;url&gt;https://w</w:instrText>
      </w:r>
      <w:r w:rsidRPr="006119F2">
        <w:rPr>
          <w:sz w:val="20"/>
        </w:rPr>
        <w:instrText>ww.hansardsociety.org.uk/publications/data/coronavirus-statutory-instruments-dashboard&lt;/url&gt;&lt;/related-urls&gt;&lt;/urls&gt;&lt;/record&gt;&lt;/Cite&gt;&lt;/EndNote&gt;</w:instrText>
      </w:r>
      <w:r w:rsidRPr="00E621DA">
        <w:rPr>
          <w:sz w:val="20"/>
        </w:rPr>
        <w:fldChar w:fldCharType="separate"/>
      </w:r>
      <w:r w:rsidRPr="00E621DA">
        <w:rPr>
          <w:noProof/>
          <w:sz w:val="20"/>
        </w:rPr>
        <w:t xml:space="preserve">Hansard Society, ‘Coronavirus Statutory Instruments Dashboard’  </w:t>
      </w:r>
      <w:r w:rsidRPr="006119F2">
        <w:rPr>
          <w:noProof/>
          <w:sz w:val="20"/>
          <w:u w:val="single"/>
        </w:rPr>
        <w:t>https://www.hansardsociety.org.uk/publications/data/</w:t>
      </w:r>
      <w:r w:rsidRPr="006119F2">
        <w:rPr>
          <w:noProof/>
          <w:sz w:val="20"/>
          <w:u w:val="single"/>
        </w:rPr>
        <w:t>coronavirus-statutory-instruments-dashboard</w:t>
      </w:r>
      <w:r>
        <w:rPr>
          <w:noProof/>
          <w:sz w:val="20"/>
        </w:rPr>
        <w:t>, a</w:t>
      </w:r>
      <w:r w:rsidRPr="006119F2">
        <w:rPr>
          <w:noProof/>
          <w:sz w:val="20"/>
        </w:rPr>
        <w:t>ccessed 21/04/06</w:t>
      </w:r>
      <w:r w:rsidRPr="00E621DA">
        <w:rPr>
          <w:sz w:val="20"/>
        </w:rPr>
        <w:fldChar w:fldCharType="end"/>
      </w:r>
      <w:r>
        <w:rPr>
          <w:sz w:val="20"/>
        </w:rPr>
        <w:t>.</w:t>
      </w:r>
    </w:p>
  </w:footnote>
  <w:footnote w:id="26">
    <w:p w:rsidR="00AE4850" w:rsidRPr="00E621DA" w:rsidP="0019452C">
      <w:pPr>
        <w:pStyle w:val="FootnoteText"/>
        <w:rPr>
          <w:sz w:val="20"/>
        </w:rPr>
      </w:pPr>
      <w:r w:rsidRPr="00E621DA">
        <w:rPr>
          <w:rStyle w:val="FootnoteReference"/>
          <w:sz w:val="20"/>
        </w:rPr>
        <w:footnoteRef/>
      </w:r>
      <w:r w:rsidRPr="00E621DA">
        <w:rPr>
          <w:sz w:val="20"/>
        </w:rPr>
        <w:t xml:space="preserve"> Wagner (n </w:t>
      </w:r>
      <w:r w:rsidRPr="00E621DA">
        <w:rPr>
          <w:sz w:val="20"/>
        </w:rPr>
        <w:fldChar w:fldCharType="begin"/>
      </w:r>
      <w:r w:rsidRPr="006119F2">
        <w:rPr>
          <w:sz w:val="20"/>
        </w:rPr>
        <w:instrText xml:space="preserve"> NOTEREF _Ref68626196 \h </w:instrText>
      </w:r>
      <w:r w:rsidRPr="006119F2">
        <w:rPr>
          <w:sz w:val="20"/>
        </w:rPr>
        <w:instrText xml:space="preserve"> \* MERGEFORMAT </w:instrText>
      </w:r>
      <w:r w:rsidRPr="00E621DA">
        <w:rPr>
          <w:sz w:val="20"/>
        </w:rPr>
        <w:fldChar w:fldCharType="separate"/>
      </w:r>
      <w:r w:rsidRPr="00E621DA">
        <w:rPr>
          <w:sz w:val="20"/>
        </w:rPr>
        <w:t>14</w:t>
      </w:r>
      <w:r w:rsidRPr="00E621DA">
        <w:rPr>
          <w:sz w:val="20"/>
        </w:rPr>
        <w:fldChar w:fldCharType="end"/>
      </w:r>
      <w:r w:rsidRPr="00E621DA">
        <w:rPr>
          <w:sz w:val="20"/>
        </w:rPr>
        <w:t>).</w:t>
      </w:r>
    </w:p>
  </w:footnote>
  <w:footnote w:id="27">
    <w:p w:rsidR="0082430B" w:rsidRPr="00E621DA" w:rsidP="0019452C">
      <w:pPr>
        <w:pStyle w:val="FootnoteText"/>
        <w:rPr>
          <w:sz w:val="20"/>
        </w:rPr>
      </w:pPr>
      <w:r w:rsidRPr="00E621DA">
        <w:rPr>
          <w:rStyle w:val="FootnoteReference"/>
          <w:sz w:val="20"/>
        </w:rPr>
        <w:footnoteRef/>
      </w:r>
      <w:r w:rsidRPr="00E621DA">
        <w:rPr>
          <w:sz w:val="20"/>
        </w:rPr>
        <w:t xml:space="preserve"> </w:t>
      </w:r>
      <w:r w:rsidRPr="006119F2">
        <w:rPr>
          <w:sz w:val="20"/>
        </w:rPr>
        <w:t>By analogy, we suggest that the reinstitution of a specific ex</w:t>
      </w:r>
      <w:r w:rsidRPr="006119F2">
        <w:rPr>
          <w:sz w:val="20"/>
        </w:rPr>
        <w:t>emption to coronavirus restrictions on gatherings for the purposes of protest is a direct consequence of perceived overcriminalisation of protest following the death of Sarah Everard</w:t>
      </w:r>
      <w:r w:rsidRPr="006119F2">
        <w:rPr>
          <w:sz w:val="20"/>
        </w:rPr>
        <w:t xml:space="preserve">. See </w:t>
      </w:r>
      <w:r w:rsidRPr="00E621DA">
        <w:rPr>
          <w:sz w:val="20"/>
        </w:rPr>
        <w:fldChar w:fldCharType="begin"/>
      </w:r>
      <w:r w:rsidRPr="006119F2">
        <w:rPr>
          <w:sz w:val="20"/>
        </w:rPr>
        <w:instrText xml:space="preserve"> ADDIN EN.CITE &lt;EndNote&gt;&lt;Cite&gt;&lt;Author&gt;Elgot&lt;/Author&gt;&lt;Year&gt;2021&lt;/Year</w:instrText>
      </w:r>
      <w:r w:rsidRPr="006119F2">
        <w:rPr>
          <w:sz w:val="20"/>
        </w:rPr>
        <w:instrText>&gt;&lt;RecNum&gt;1577&lt;/RecNum&gt;&lt;DisplayText&gt;Jessica Elgot, ‘Covid restrictions on protests in England to be lifted on Monday’ &lt;style face="italic"&gt;The Guardian&lt;/style&gt; (22 Mar 2021) &lt;style face="underline"&gt;https://www.theguardian.com/world/2021/mar/22/covid-restric</w:instrText>
      </w:r>
      <w:r w:rsidRPr="006119F2">
        <w:rPr>
          <w:sz w:val="20"/>
        </w:rPr>
        <w:instrText>tions-on-protests-in-england-to-be-lifted-on-monday&lt;/style&gt; accessed 21/04/06&lt;/DisplayText&gt;&lt;record&gt;&lt;rec-number&gt;1577&lt;/rec-number&gt;&lt;foreign-keys&gt;&lt;key app="EN" db-id="x09zdvrxgxzpx3e2tf1xxswnspd00t99fe2r" timestamp="1617731334"&gt;1577&lt;/key&gt;&lt;/foreign-keys&gt;&lt;ref-ty</w:instrText>
      </w:r>
      <w:r w:rsidRPr="006119F2">
        <w:rPr>
          <w:sz w:val="20"/>
        </w:rPr>
        <w:instrText>pe name="Newspaper Article"&gt;23&lt;/ref-type&gt;&lt;contributors&gt;&lt;authors&gt;&lt;author&gt;Elgot, Jessica&lt;/author&gt;&lt;/authors&gt;&lt;/contributors&gt;&lt;titles&gt;&lt;title&gt;Covid restrictions on protests in England to be lifted on Monday&lt;/title&gt;&lt;secondary-title&gt;The Guardian&lt;/secondary-title&gt;&lt;/</w:instrText>
      </w:r>
      <w:r w:rsidRPr="006119F2">
        <w:rPr>
          <w:sz w:val="20"/>
        </w:rPr>
        <w:instrText>titles&gt;&lt;dates&gt;&lt;year&gt;2021&lt;/year&gt;&lt;pub-dates&gt;&lt;date&gt;22 Mar 2021&lt;/date&gt;&lt;/pub-dates&gt;&lt;/dates&gt;&lt;urls&gt;&lt;related-urls&gt;&lt;url&gt;https://www.theguardian.com/world/2021/mar/22/covid-restrictions-on-protests-in-england-to-be-lifted-on-monday&lt;/url&gt;&lt;/related-urls&gt;&lt;/urls&gt;&lt;access</w:instrText>
      </w:r>
      <w:r w:rsidRPr="006119F2">
        <w:rPr>
          <w:sz w:val="20"/>
        </w:rPr>
        <w:instrText>-date&gt;21/04/06&lt;/access-date&gt;&lt;/record&gt;&lt;/Cite&gt;&lt;/EndNote&gt;</w:instrText>
      </w:r>
      <w:r w:rsidRPr="00E621DA">
        <w:rPr>
          <w:sz w:val="20"/>
        </w:rPr>
        <w:fldChar w:fldCharType="separate"/>
      </w:r>
      <w:r w:rsidRPr="00E621DA">
        <w:rPr>
          <w:noProof/>
          <w:sz w:val="20"/>
        </w:rPr>
        <w:t>Jessica Elg</w:t>
      </w:r>
      <w:r w:rsidRPr="006119F2">
        <w:rPr>
          <w:noProof/>
          <w:sz w:val="20"/>
        </w:rPr>
        <w:t xml:space="preserve">ot, ‘Covid restrictions on protests in England to be lifted on Monday’ </w:t>
      </w:r>
      <w:r w:rsidRPr="006119F2">
        <w:rPr>
          <w:i/>
          <w:noProof/>
          <w:sz w:val="20"/>
        </w:rPr>
        <w:t>The Guardian</w:t>
      </w:r>
      <w:r w:rsidRPr="006119F2">
        <w:rPr>
          <w:noProof/>
          <w:sz w:val="20"/>
        </w:rPr>
        <w:t xml:space="preserve"> (22 Mar 2021) </w:t>
      </w:r>
      <w:r w:rsidRPr="006119F2">
        <w:rPr>
          <w:noProof/>
          <w:sz w:val="20"/>
          <w:u w:val="single"/>
        </w:rPr>
        <w:t>https://www.theguardian.com/world/2021/mar/22/covid-restrictions-on-protests-in-england-to-be</w:t>
      </w:r>
      <w:r w:rsidRPr="006119F2">
        <w:rPr>
          <w:noProof/>
          <w:sz w:val="20"/>
          <w:u w:val="single"/>
        </w:rPr>
        <w:t>-lifted-on-monday</w:t>
      </w:r>
      <w:r w:rsidRPr="006119F2">
        <w:rPr>
          <w:noProof/>
          <w:sz w:val="20"/>
        </w:rPr>
        <w:t xml:space="preserve"> accessed 21/04/06</w:t>
      </w:r>
      <w:r w:rsidRPr="00E621DA">
        <w:rPr>
          <w:sz w:val="20"/>
        </w:rPr>
        <w:fldChar w:fldCharType="end"/>
      </w:r>
      <w:r w:rsidRPr="00E621DA">
        <w:rPr>
          <w:sz w:val="20"/>
        </w:rPr>
        <w:t>.</w:t>
      </w:r>
    </w:p>
  </w:footnote>
  <w:footnote w:id="28">
    <w:p w:rsidR="00A4025C" w:rsidRPr="006119F2" w:rsidP="0019452C">
      <w:pPr>
        <w:pStyle w:val="FootnoteText"/>
        <w:rPr>
          <w:sz w:val="20"/>
        </w:rPr>
      </w:pPr>
      <w:r w:rsidRPr="006119F2">
        <w:rPr>
          <w:rStyle w:val="FootnoteReference"/>
          <w:sz w:val="20"/>
        </w:rPr>
        <w:footnoteRef/>
      </w:r>
      <w:r w:rsidRPr="006119F2">
        <w:rPr>
          <w:sz w:val="20"/>
        </w:rPr>
        <w:t xml:space="preserve"> Mohammad S Razai, Tasnime</w:t>
      </w:r>
      <w:r w:rsidRPr="006119F2">
        <w:rPr>
          <w:sz w:val="20"/>
        </w:rPr>
        <w:t xml:space="preserve"> Osama, Douglas G J McKechnie, Azeem Majeed, 'Covid-19 vaccine hesitancy among ethnic minority groups' (2021)</w:t>
      </w:r>
      <w:r>
        <w:rPr>
          <w:sz w:val="20"/>
        </w:rPr>
        <w:t xml:space="preserve"> 513</w:t>
      </w:r>
      <w:r w:rsidRPr="006119F2">
        <w:rPr>
          <w:sz w:val="20"/>
        </w:rPr>
        <w:t xml:space="preserve"> </w:t>
      </w:r>
      <w:r w:rsidRPr="006119F2">
        <w:rPr>
          <w:i/>
          <w:iCs/>
          <w:sz w:val="20"/>
        </w:rPr>
        <w:t>British Medical Journal</w:t>
      </w:r>
      <w:r w:rsidRPr="006119F2">
        <w:rPr>
          <w:sz w:val="20"/>
        </w:rPr>
        <w:t>, 1-2.</w:t>
      </w:r>
    </w:p>
  </w:footnote>
  <w:footnote w:id="29">
    <w:p w:rsidR="00130F87" w:rsidRPr="00E621DA" w:rsidP="0019452C">
      <w:pPr>
        <w:pStyle w:val="FootnoteText"/>
        <w:rPr>
          <w:sz w:val="20"/>
        </w:rPr>
      </w:pPr>
      <w:r w:rsidRPr="00E621DA">
        <w:rPr>
          <w:rStyle w:val="FootnoteReference"/>
          <w:sz w:val="20"/>
        </w:rPr>
        <w:footnoteRef/>
      </w:r>
      <w:r w:rsidRPr="00E621DA">
        <w:rPr>
          <w:sz w:val="20"/>
        </w:rPr>
        <w:t xml:space="preserve"> </w:t>
      </w:r>
      <w:r w:rsidRPr="00E621DA">
        <w:rPr>
          <w:sz w:val="20"/>
        </w:rPr>
        <w:fldChar w:fldCharType="begin"/>
      </w:r>
      <w:r w:rsidRPr="006119F2">
        <w:rPr>
          <w:sz w:val="20"/>
        </w:rPr>
        <w:instrText xml:space="preserve"> ADDIN EN.CITE &lt;EndNote&gt;&lt;Cite ExcludeAuth="1"&gt;&lt;Year&gt;1984&lt;/Year&gt;&lt;RecNum&gt;138&lt;/RecNum&gt;&lt;Pages&gt;s 45C(3)(c)&lt;/Pages&gt;&lt;</w:instrText>
      </w:r>
      <w:r w:rsidRPr="006119F2">
        <w:rPr>
          <w:sz w:val="20"/>
        </w:rPr>
        <w:instrText>DisplayText&gt;Public Health (Control of Disease) Act 1984, s 45C(3)(c)&lt;/DisplayText&gt;&lt;record&gt;&lt;rec-number&gt;138&lt;/rec-number&gt;&lt;foreign-keys&gt;&lt;key app="EN" db-id="x09zdvrxgxzpx3e2tf1xxswnspd00t99fe2r" timestamp="1573220139" guid="f6c89293-ecd2-4715-8ae2-175457f8db61</w:instrText>
      </w:r>
      <w:r w:rsidRPr="006119F2">
        <w:rPr>
          <w:sz w:val="20"/>
        </w:rPr>
        <w:instrText>"&gt;138&lt;/key&gt;&lt;/foreign-keys&gt;&lt;ref-type name="Statute, SI, EU leg, Treaties"&gt;31&lt;/ref-type&gt;&lt;contributors&gt;&lt;/contributors&gt;&lt;titles&gt;&lt;title&gt;Public Health (Control of Disease) Act 1984&lt;/title&gt;&lt;/titles&gt;&lt;dates&gt;&lt;year&gt;1984&lt;/year&gt;&lt;/dates&gt;&lt;urls&gt;&lt;/urls&gt;&lt;/record&gt;&lt;/Cite&gt;&lt;/End</w:instrText>
      </w:r>
      <w:r w:rsidRPr="006119F2">
        <w:rPr>
          <w:sz w:val="20"/>
        </w:rPr>
        <w:instrText>Note&gt;</w:instrText>
      </w:r>
      <w:r w:rsidRPr="00E621DA">
        <w:rPr>
          <w:sz w:val="20"/>
        </w:rPr>
        <w:fldChar w:fldCharType="separate"/>
      </w:r>
      <w:r w:rsidRPr="00E621DA">
        <w:rPr>
          <w:noProof/>
          <w:sz w:val="20"/>
        </w:rPr>
        <w:t>Public Health (Control of Disease) Act 1984, s 45C(3)(c)</w:t>
      </w:r>
      <w:r w:rsidRPr="00E621DA">
        <w:rPr>
          <w:sz w:val="20"/>
        </w:rPr>
        <w:fldChar w:fldCharType="end"/>
      </w:r>
      <w:r w:rsidRPr="00E621DA">
        <w:rPr>
          <w:sz w:val="20"/>
        </w:rPr>
        <w:t>.</w:t>
      </w:r>
    </w:p>
  </w:footnote>
  <w:footnote w:id="30">
    <w:p w:rsidR="0050221B" w:rsidRPr="00E621DA" w:rsidP="0019452C">
      <w:pPr>
        <w:pStyle w:val="FootnoteText"/>
        <w:rPr>
          <w:sz w:val="20"/>
        </w:rPr>
      </w:pPr>
      <w:r w:rsidRPr="00E621DA">
        <w:rPr>
          <w:rStyle w:val="FootnoteReference"/>
          <w:sz w:val="20"/>
        </w:rPr>
        <w:footnoteRef/>
      </w:r>
      <w:r w:rsidRPr="00E621DA">
        <w:rPr>
          <w:sz w:val="20"/>
        </w:rPr>
        <w:t xml:space="preserve"> </w:t>
      </w:r>
      <w:r w:rsidRPr="00E621DA">
        <w:rPr>
          <w:sz w:val="20"/>
        </w:rPr>
        <w:fldChar w:fldCharType="begin"/>
      </w:r>
      <w:r w:rsidRPr="006119F2">
        <w:rPr>
          <w:sz w:val="20"/>
        </w:rPr>
        <w:instrText xml:space="preserve"> ADDIN EN.CITE &lt;EndNote&gt;&lt;Cite ExcludeAuth="1"&gt;&lt;Year&gt;2008&lt;/Year&gt;&lt;RecNum&gt;1579&lt;/RecNum&gt;&lt;DisplayText&gt;Health and Social Care Act 2008 Explanatory Notes &lt;style face="underline"&gt;https://www.legis</w:instrText>
      </w:r>
      <w:r w:rsidRPr="006119F2">
        <w:rPr>
          <w:sz w:val="20"/>
        </w:rPr>
        <w:instrText xml:space="preserve">lation.gov.uk/ukpga/2008/14/notes/division/2/3&lt;/style&gt; accessed 2021/04/06&lt;/DisplayText&gt;&lt;record&gt;&lt;rec-number&gt;1579&lt;/rec-number&gt;&lt;foreign-keys&gt;&lt;key app="EN" db-id="x09zdvrxgxzpx3e2tf1xxswnspd00t99fe2r" timestamp="1617741356"&gt;1579&lt;/key&gt;&lt;/foreign-keys&gt;&lt;ref-type </w:instrText>
      </w:r>
      <w:r w:rsidRPr="006119F2">
        <w:rPr>
          <w:sz w:val="20"/>
        </w:rPr>
        <w:instrText>name="Statute, SI, EU leg, Treaties"&gt;31&lt;/ref-type&gt;&lt;contributors&gt;&lt;/contributors&gt;&lt;titles&gt;&lt;title&gt;Health and Social Care Act 2008 Explanatory Notes&lt;/title&gt;&lt;/titles&gt;&lt;dates&gt;&lt;year&gt;2008&lt;/year&gt;&lt;/dates&gt;&lt;urls&gt;&lt;related-urls&gt;&lt;url&gt;https://www.legislation.gov.uk/ukpga/20</w:instrText>
      </w:r>
      <w:r w:rsidRPr="006119F2">
        <w:rPr>
          <w:sz w:val="20"/>
        </w:rPr>
        <w:instrText>08/14/notes/division/2/3&lt;/url&gt;&lt;/related-urls&gt;&lt;/urls&gt;&lt;access-date&gt;2021/04/06&lt;/access-date&gt;&lt;/record&gt;&lt;/Cite&gt;&lt;/EndNote&gt;</w:instrText>
      </w:r>
      <w:r w:rsidRPr="00E621DA">
        <w:rPr>
          <w:sz w:val="20"/>
        </w:rPr>
        <w:fldChar w:fldCharType="separate"/>
      </w:r>
      <w:r w:rsidRPr="00E621DA">
        <w:rPr>
          <w:noProof/>
          <w:sz w:val="20"/>
        </w:rPr>
        <w:t xml:space="preserve">Health and Social Care Act 2008 Explanatory Notes </w:t>
      </w:r>
      <w:r w:rsidRPr="006119F2">
        <w:rPr>
          <w:noProof/>
          <w:sz w:val="20"/>
          <w:u w:val="single"/>
        </w:rPr>
        <w:t>https://www.legislation.gov.uk/ukpga/2008/14/notes/division/2/3</w:t>
      </w:r>
      <w:r>
        <w:rPr>
          <w:noProof/>
          <w:sz w:val="20"/>
        </w:rPr>
        <w:t xml:space="preserve">, </w:t>
      </w:r>
      <w:r w:rsidRPr="006119F2">
        <w:rPr>
          <w:noProof/>
          <w:sz w:val="20"/>
        </w:rPr>
        <w:t>accessed 21/04/06</w:t>
      </w:r>
      <w:r w:rsidRPr="00E621DA">
        <w:rPr>
          <w:sz w:val="20"/>
        </w:rPr>
        <w:fldChar w:fldCharType="end"/>
      </w:r>
      <w:r w:rsidRPr="00E621DA">
        <w:rPr>
          <w:sz w:val="20"/>
        </w:rPr>
        <w:t>.</w:t>
      </w:r>
    </w:p>
  </w:footnote>
  <w:footnote w:id="31">
    <w:p w:rsidR="00E427D4" w:rsidRPr="006119F2" w:rsidP="0019452C">
      <w:pPr>
        <w:pStyle w:val="FootnoteText"/>
        <w:rPr>
          <w:sz w:val="20"/>
        </w:rPr>
      </w:pPr>
      <w:r w:rsidRPr="003C4496">
        <w:rPr>
          <w:rStyle w:val="FootnoteReference"/>
          <w:sz w:val="20"/>
        </w:rPr>
        <w:footnoteRef/>
      </w:r>
      <w:r w:rsidRPr="003C4496">
        <w:rPr>
          <w:sz w:val="20"/>
        </w:rPr>
        <w:t xml:space="preserve"> See eg </w:t>
      </w:r>
      <w:r w:rsidRPr="00E621DA">
        <w:rPr>
          <w:sz w:val="20"/>
        </w:rPr>
        <w:t>Verónica Undurraga, 'Criminalisation under scrutiny: how constitutional courts are changing their narrative by using public health evidence in abortion cases' (2019</w:t>
      </w:r>
      <w:r w:rsidRPr="006119F2">
        <w:rPr>
          <w:sz w:val="20"/>
        </w:rPr>
        <w:t>)</w:t>
      </w:r>
      <w:r>
        <w:rPr>
          <w:sz w:val="20"/>
        </w:rPr>
        <w:t xml:space="preserve"> 27(1)</w:t>
      </w:r>
      <w:r w:rsidRPr="006119F2">
        <w:rPr>
          <w:i/>
          <w:iCs/>
          <w:sz w:val="20"/>
        </w:rPr>
        <w:t xml:space="preserve"> Sexual and Reproductive Health Matters</w:t>
      </w:r>
      <w:r w:rsidRPr="003C4496">
        <w:rPr>
          <w:sz w:val="20"/>
        </w:rPr>
        <w:t>,</w:t>
      </w:r>
      <w:r w:rsidRPr="006119F2">
        <w:rPr>
          <w:sz w:val="20"/>
        </w:rPr>
        <w:t xml:space="preserve"> 41-51.</w:t>
      </w:r>
    </w:p>
  </w:footnote>
  <w:footnote w:id="32">
    <w:p w:rsidR="00CB3775" w:rsidRPr="006119F2" w:rsidP="0019452C">
      <w:pPr>
        <w:pStyle w:val="FootnoteText"/>
        <w:rPr>
          <w:sz w:val="20"/>
        </w:rPr>
      </w:pPr>
      <w:r w:rsidRPr="006119F2">
        <w:rPr>
          <w:rStyle w:val="FootnoteReference"/>
          <w:sz w:val="20"/>
        </w:rPr>
        <w:footnoteRef/>
      </w:r>
      <w:r w:rsidRPr="006119F2">
        <w:rPr>
          <w:sz w:val="20"/>
        </w:rPr>
        <w:t xml:space="preserve"> ON</w:t>
      </w:r>
      <w:r w:rsidRPr="006119F2">
        <w:rPr>
          <w:sz w:val="20"/>
        </w:rPr>
        <w:t>S,</w:t>
      </w:r>
      <w:r w:rsidRPr="006119F2">
        <w:rPr>
          <w:sz w:val="20"/>
        </w:rPr>
        <w:t xml:space="preserve"> ‘Coronavirus and Crime</w:t>
      </w:r>
      <w:r w:rsidRPr="006119F2">
        <w:rPr>
          <w:sz w:val="20"/>
        </w:rPr>
        <w:t xml:space="preserve"> in England and Wales August 2020’</w:t>
      </w:r>
      <w:r w:rsidRPr="006119F2">
        <w:rPr>
          <w:sz w:val="20"/>
        </w:rPr>
        <w:t xml:space="preserve"> (26 Aug 2020) </w:t>
      </w:r>
      <w:r w:rsidRPr="005322AE">
        <w:rPr>
          <w:sz w:val="20"/>
          <w:u w:val="single"/>
        </w:rPr>
        <w:t>https://www.ons.gov.uk/peoplepopulationandcommunity/crimeandjustice/bulletins/coronavirusandcrimeinenglandandwales/august2020</w:t>
      </w:r>
      <w:r>
        <w:rPr>
          <w:sz w:val="20"/>
        </w:rPr>
        <w:t>, a</w:t>
      </w:r>
      <w:r w:rsidRPr="006119F2">
        <w:rPr>
          <w:sz w:val="20"/>
        </w:rPr>
        <w:t>ccessed 21/04/07.</w:t>
      </w:r>
    </w:p>
  </w:footnote>
  <w:footnote w:id="33">
    <w:p w:rsidR="000C1824" w:rsidRPr="0053373B" w:rsidP="0019452C">
      <w:pPr>
        <w:pStyle w:val="FootnoteText"/>
        <w:rPr>
          <w:sz w:val="20"/>
        </w:rPr>
      </w:pPr>
      <w:r w:rsidRPr="006119F2">
        <w:rPr>
          <w:rStyle w:val="FootnoteReference"/>
          <w:sz w:val="20"/>
        </w:rPr>
        <w:footnoteRef/>
      </w:r>
      <w:r w:rsidRPr="006119F2">
        <w:rPr>
          <w:sz w:val="20"/>
        </w:rPr>
        <w:t xml:space="preserve"> </w:t>
      </w:r>
      <w:r w:rsidRPr="003C4496">
        <w:rPr>
          <w:sz w:val="20"/>
        </w:rPr>
        <w:t>A parallel can be drawn here with counter-terrorism legisla</w:t>
      </w:r>
      <w:r w:rsidRPr="003C4496">
        <w:rPr>
          <w:sz w:val="20"/>
        </w:rPr>
        <w:t xml:space="preserve">tion. See eg </w:t>
      </w:r>
      <w:r>
        <w:rPr>
          <w:sz w:val="20"/>
        </w:rPr>
        <w:t xml:space="preserve">Henrique Carvalho, </w:t>
      </w:r>
      <w:r>
        <w:rPr>
          <w:i/>
          <w:iCs/>
          <w:sz w:val="20"/>
        </w:rPr>
        <w:t>The Preventive Turn in Criminal Law</w:t>
      </w:r>
      <w:r>
        <w:rPr>
          <w:sz w:val="20"/>
        </w:rPr>
        <w:t xml:space="preserve"> (2017) Oxford: Oxford University Press; </w:t>
      </w:r>
      <w:r w:rsidRPr="00E621DA">
        <w:rPr>
          <w:sz w:val="20"/>
        </w:rPr>
        <w:t>M</w:t>
      </w:r>
      <w:r>
        <w:rPr>
          <w:sz w:val="20"/>
        </w:rPr>
        <w:t>anuel</w:t>
      </w:r>
      <w:r w:rsidRPr="00E621DA">
        <w:rPr>
          <w:sz w:val="20"/>
        </w:rPr>
        <w:t xml:space="preserve"> Cancio Meliá 'Terrorism and Criminal Law: The Dream of Prevention, the Nightmare of the Rule of Law'</w:t>
      </w:r>
      <w:r w:rsidRPr="006119F2">
        <w:rPr>
          <w:sz w:val="20"/>
        </w:rPr>
        <w:t xml:space="preserve"> (2011) </w:t>
      </w:r>
      <w:r w:rsidRPr="006119F2">
        <w:rPr>
          <w:sz w:val="20"/>
        </w:rPr>
        <w:t xml:space="preserve">14(1) </w:t>
      </w:r>
      <w:r w:rsidRPr="006119F2">
        <w:rPr>
          <w:i/>
          <w:iCs/>
          <w:sz w:val="20"/>
        </w:rPr>
        <w:t>New Criminal Law Review</w:t>
      </w:r>
      <w:r w:rsidRPr="006119F2">
        <w:rPr>
          <w:sz w:val="20"/>
        </w:rPr>
        <w:t xml:space="preserve"> 108</w:t>
      </w:r>
      <w:r w:rsidRPr="006119F2">
        <w:rPr>
          <w:sz w:val="20"/>
        </w:rPr>
        <w:t>-122</w:t>
      </w:r>
      <w:r>
        <w:rPr>
          <w:sz w:val="20"/>
        </w:rPr>
        <w:t xml:space="preserve">. For the expansion of punitive logics more broadly, see Henrique Carvalho, Anastasia Chamberlen &amp; Rachel Lewis, ‘Punitiveness Beyond Criminal Justice: Punishable and Punitive Subjects in an Era of Prevention, Anti-Migration and Austerity (2020) 60 </w:t>
      </w:r>
      <w:r>
        <w:rPr>
          <w:i/>
          <w:iCs/>
          <w:sz w:val="20"/>
        </w:rPr>
        <w:t>Bri</w:t>
      </w:r>
      <w:r>
        <w:rPr>
          <w:i/>
          <w:iCs/>
          <w:sz w:val="20"/>
        </w:rPr>
        <w:t>tish Journal of Criminology</w:t>
      </w:r>
      <w:r>
        <w:rPr>
          <w:sz w:val="20"/>
        </w:rPr>
        <w:t>, 265-284.</w:t>
      </w:r>
    </w:p>
  </w:footnote>
  <w:footnote w:id="34">
    <w:p w:rsidR="00AA75F7" w:rsidRPr="00E621DA" w:rsidP="0019452C">
      <w:pPr>
        <w:pStyle w:val="FootnoteText"/>
        <w:rPr>
          <w:sz w:val="20"/>
        </w:rPr>
      </w:pPr>
      <w:r w:rsidRPr="003C4496">
        <w:rPr>
          <w:rStyle w:val="FootnoteReference"/>
          <w:sz w:val="20"/>
        </w:rPr>
        <w:footnoteRef/>
      </w:r>
      <w:r w:rsidRPr="003C4496">
        <w:rPr>
          <w:sz w:val="20"/>
        </w:rPr>
        <w:t xml:space="preserve"> See Police, Crime, Sentencing and Courts Bill, s 59.</w:t>
      </w:r>
    </w:p>
  </w:footnote>
  <w:footnote w:id="35">
    <w:p w:rsidR="004A73FD" w:rsidRPr="006119F2" w:rsidP="0019452C">
      <w:pPr>
        <w:pStyle w:val="FootnoteText"/>
        <w:rPr>
          <w:sz w:val="20"/>
        </w:rPr>
      </w:pPr>
      <w:r w:rsidRPr="003C4496">
        <w:rPr>
          <w:rStyle w:val="FootnoteReference"/>
          <w:sz w:val="20"/>
        </w:rPr>
        <w:footnoteRef/>
      </w:r>
      <w:r w:rsidRPr="003C4496">
        <w:rPr>
          <w:sz w:val="20"/>
        </w:rPr>
        <w:t xml:space="preserve"> See eg </w:t>
      </w:r>
      <w:r w:rsidRPr="00E621DA">
        <w:rPr>
          <w:sz w:val="20"/>
        </w:rPr>
        <w:fldChar w:fldCharType="begin"/>
      </w:r>
      <w:r w:rsidRPr="006119F2">
        <w:rPr>
          <w:sz w:val="20"/>
        </w:rPr>
        <w:instrText xml:space="preserve"> ADDIN EN.CITE &lt;EndNote&gt;&lt;Cite ExcludeAuth="1"&gt;&lt;Year&gt;2021&lt;/Year&gt;&lt;RecNum&gt;1568&lt;/RecNum&gt;&lt;Pages&gt;Part 5&lt;/Pages&gt;&lt;DisplayText&gt;The Health Protection (Coronavirus, Restrictions) (Steps) (England) Regulations 2021, Part 5&lt;/DisplayText&gt;&lt;record&gt;&lt;rec-number&gt;1568&lt;/rec-nu</w:instrText>
      </w:r>
      <w:r w:rsidRPr="006119F2">
        <w:rPr>
          <w:sz w:val="20"/>
        </w:rPr>
        <w:instrText>mber&gt;&lt;foreign-keys&gt;&lt;key app="EN" db-id="x09zdvrxgxzpx3e2tf1xxswnspd00t99fe2r" timestamp="1617718535"&gt;1568&lt;/key&gt;&lt;/foreign-keys&gt;&lt;ref-type name="Statute, SI, EU leg, Treaties"&gt;31&lt;/ref-type&gt;&lt;contributors&gt;&lt;/contributors&gt;&lt;titles&gt;&lt;title&gt;The Health Protection (Cor</w:instrText>
      </w:r>
      <w:r w:rsidRPr="006119F2">
        <w:rPr>
          <w:sz w:val="20"/>
        </w:rPr>
        <w:instrText>onavirus, Restrictions) (Steps) (England) Regulations 2021&lt;/title&gt;&lt;/titles&gt;&lt;dates&gt;&lt;year&gt;2021&lt;/year&gt;&lt;/dates&gt;&lt;urls&gt;&lt;/urls&gt;&lt;/record&gt;&lt;/Cite&gt;&lt;/EndNote&gt;</w:instrText>
      </w:r>
      <w:r w:rsidRPr="00E621DA">
        <w:rPr>
          <w:sz w:val="20"/>
        </w:rPr>
        <w:fldChar w:fldCharType="separate"/>
      </w:r>
      <w:r w:rsidRPr="00E621DA">
        <w:rPr>
          <w:sz w:val="20"/>
        </w:rPr>
        <w:t>The Health Protection (Coronavirus, Restrictions) (Steps) (England) Regulations 2021, Part 5</w:t>
      </w:r>
      <w:r w:rsidRPr="00E621DA">
        <w:rPr>
          <w:sz w:val="20"/>
        </w:rPr>
        <w:fldChar w:fldCharType="end"/>
      </w:r>
      <w:r w:rsidRPr="003C4496">
        <w:rPr>
          <w:sz w:val="20"/>
        </w:rPr>
        <w:t xml:space="preserve">; </w:t>
      </w:r>
      <w:r w:rsidRPr="00E621DA">
        <w:rPr>
          <w:sz w:val="20"/>
        </w:rPr>
        <w:fldChar w:fldCharType="begin"/>
      </w:r>
      <w:r w:rsidRPr="006119F2">
        <w:rPr>
          <w:sz w:val="20"/>
        </w:rPr>
        <w:instrText xml:space="preserve"> ADDIN EN.CIT</w:instrText>
      </w:r>
      <w:r w:rsidRPr="006119F2">
        <w:rPr>
          <w:sz w:val="20"/>
        </w:rPr>
        <w:instrText>E &lt;EndNote&gt;&lt;Cite ExcludeAuth="1"&gt;&lt;Year&gt;2020&lt;/Year&gt;&lt;RecNum&gt;1580&lt;/RecNum&gt;&lt;Pages&gt;regulation 12&lt;/Pages&gt;&lt;DisplayText&gt;The Health Protection (Coronavirus, Restrictions) (Self-Isolation) (England) Regulations 2020, regulation 12&lt;/DisplayText&gt;&lt;record&gt;&lt;rec-number&gt;15</w:instrText>
      </w:r>
      <w:r w:rsidRPr="006119F2">
        <w:rPr>
          <w:sz w:val="20"/>
        </w:rPr>
        <w:instrText>80&lt;/rec-number&gt;&lt;foreign-keys&gt;&lt;key app="EN" db-id="x09zdvrxgxzpx3e2tf1xxswnspd00t99fe2r" timestamp="1617792742"&gt;1580&lt;/key&gt;&lt;/foreign-keys&gt;&lt;ref-type name="Statute, SI, EU leg, Treaties"&gt;31&lt;/ref-type&gt;&lt;contributors&gt;&lt;/contributors&gt;&lt;titles&gt;&lt;title&gt;The Health Prote</w:instrText>
      </w:r>
      <w:r w:rsidRPr="006119F2">
        <w:rPr>
          <w:sz w:val="20"/>
        </w:rPr>
        <w:instrText>ction (Coronavirus, Restrictions) (Self-Isolation) (England) Regulations 2020&lt;/title&gt;&lt;/titles&gt;&lt;dates&gt;&lt;year&gt;2020&lt;/year&gt;&lt;/dates&gt;&lt;urls&gt;&lt;/urls&gt;&lt;/record&gt;&lt;/Cite&gt;&lt;/EndNote&gt;</w:instrText>
      </w:r>
      <w:r w:rsidRPr="00E621DA">
        <w:rPr>
          <w:sz w:val="20"/>
        </w:rPr>
        <w:fldChar w:fldCharType="separate"/>
      </w:r>
      <w:r w:rsidRPr="00E621DA">
        <w:rPr>
          <w:noProof/>
          <w:sz w:val="20"/>
        </w:rPr>
        <w:t>The Health Protection (Coronavirus, Restrictions) (Self-Isolation) (England) Regulations 20</w:t>
      </w:r>
      <w:r w:rsidRPr="006119F2">
        <w:rPr>
          <w:noProof/>
          <w:sz w:val="20"/>
        </w:rPr>
        <w:t>20, regulation 12</w:t>
      </w:r>
      <w:r w:rsidRPr="00E621DA">
        <w:rPr>
          <w:sz w:val="20"/>
        </w:rPr>
        <w:fldChar w:fldCharType="end"/>
      </w:r>
      <w:r w:rsidRPr="003C4496">
        <w:rPr>
          <w:sz w:val="20"/>
        </w:rPr>
        <w:t>; Offences under the Coronavirus Act 2020, schedule 21 are punishable on summary conviction by ‘fine not exceeding level 3 on the standard scale’ (£1,000).</w:t>
      </w:r>
    </w:p>
  </w:footnote>
  <w:footnote w:id="36">
    <w:p w:rsidR="00D40CA6" w:rsidRPr="006119F2" w:rsidP="0019452C">
      <w:pPr>
        <w:pStyle w:val="Heading1"/>
        <w:numPr>
          <w:ilvl w:val="0"/>
          <w:numId w:val="0"/>
        </w:numPr>
        <w:spacing w:before="0"/>
        <w:rPr>
          <w:rFonts w:ascii="Times New Roman" w:hAnsi="Times New Roman"/>
          <w:b w:val="0"/>
          <w:bCs/>
          <w:sz w:val="20"/>
          <w:szCs w:val="20"/>
        </w:rPr>
      </w:pPr>
      <w:r w:rsidRPr="003C4496">
        <w:rPr>
          <w:rStyle w:val="FootnoteReference"/>
          <w:b w:val="0"/>
          <w:bCs/>
          <w:sz w:val="20"/>
          <w:szCs w:val="20"/>
        </w:rPr>
        <w:footnoteRef/>
      </w:r>
      <w:r w:rsidRPr="003C4496">
        <w:rPr>
          <w:b w:val="0"/>
          <w:bCs/>
          <w:sz w:val="20"/>
          <w:szCs w:val="20"/>
        </w:rPr>
        <w:t xml:space="preserve"> See NPCC</w:t>
      </w:r>
      <w:r w:rsidRPr="00E621DA">
        <w:rPr>
          <w:b w:val="0"/>
          <w:bCs/>
          <w:sz w:val="20"/>
          <w:szCs w:val="20"/>
        </w:rPr>
        <w:t>, ‘Update on Coronavirus FPNs issued by Police – March 2021,</w:t>
      </w:r>
      <w:r w:rsidRPr="006119F2">
        <w:rPr>
          <w:b w:val="0"/>
          <w:bCs/>
          <w:sz w:val="20"/>
          <w:szCs w:val="20"/>
        </w:rPr>
        <w:t xml:space="preserve"> (26 March</w:t>
      </w:r>
      <w:r w:rsidRPr="006119F2">
        <w:rPr>
          <w:b w:val="0"/>
          <w:bCs/>
          <w:sz w:val="20"/>
          <w:szCs w:val="20"/>
        </w:rPr>
        <w:t xml:space="preserve"> 2021), </w:t>
      </w:r>
      <w:r w:rsidRPr="005322AE">
        <w:rPr>
          <w:b w:val="0"/>
          <w:bCs/>
          <w:sz w:val="20"/>
          <w:szCs w:val="20"/>
          <w:u w:val="single"/>
        </w:rPr>
        <w:t>https://news.npcc.police.uk/releases/update-on-coronavirus-fpns-issued-by-police-march-2021</w:t>
      </w:r>
      <w:r w:rsidRPr="003C4496">
        <w:rPr>
          <w:b w:val="0"/>
          <w:bCs/>
          <w:sz w:val="20"/>
          <w:szCs w:val="20"/>
        </w:rPr>
        <w:t xml:space="preserve">, </w:t>
      </w:r>
      <w:r w:rsidRPr="00E621DA">
        <w:rPr>
          <w:b w:val="0"/>
          <w:bCs/>
          <w:color w:val="000000" w:themeColor="text1"/>
          <w:sz w:val="20"/>
          <w:szCs w:val="20"/>
        </w:rPr>
        <w:t>accessed 21/04/07.</w:t>
      </w:r>
    </w:p>
  </w:footnote>
  <w:footnote w:id="37">
    <w:p w:rsidR="001D7895" w:rsidRPr="006119F2" w:rsidP="0019452C">
      <w:pPr>
        <w:pStyle w:val="FootnoteText"/>
        <w:rPr>
          <w:sz w:val="20"/>
        </w:rPr>
      </w:pPr>
      <w:r w:rsidRPr="003C4496">
        <w:rPr>
          <w:rStyle w:val="FootnoteReference"/>
          <w:sz w:val="20"/>
        </w:rPr>
        <w:footnoteRef/>
      </w:r>
      <w:r w:rsidRPr="003C4496">
        <w:rPr>
          <w:sz w:val="20"/>
        </w:rPr>
        <w:t xml:space="preserve"> See eg </w:t>
      </w:r>
      <w:r w:rsidRPr="00E621DA">
        <w:rPr>
          <w:sz w:val="20"/>
        </w:rPr>
        <w:fldChar w:fldCharType="begin"/>
      </w:r>
      <w:r w:rsidRPr="006119F2">
        <w:rPr>
          <w:sz w:val="20"/>
        </w:rPr>
        <w:instrText xml:space="preserve"> ADDIN EN.CITE &lt;EndNote&gt;&lt;Cite ExcludeAuth="1"&gt;&lt;Year&gt;2021&lt;/Year&gt;&lt;RecNum&gt;1568&lt;/RecNum&gt;&lt;Pages&gt;regulation 15&lt;/Pages&gt;&lt;DisplayText&gt;Th</w:instrText>
      </w:r>
      <w:r w:rsidRPr="006119F2">
        <w:rPr>
          <w:sz w:val="20"/>
        </w:rPr>
        <w:instrText>e Health Protection (Coronavirus, Restrictions) (Steps) (England) Regulations 2021, regulation 15&lt;/DisplayText&gt;&lt;record&gt;&lt;rec-number&gt;1568&lt;/rec-number&gt;&lt;foreign-keys&gt;&lt;key app="EN" db-id="x09zdvrxgxzpx3e2tf1xxswnspd00t99fe2r" timestamp="1617718535"&gt;1568&lt;/key&gt;&lt;/</w:instrText>
      </w:r>
      <w:r w:rsidRPr="006119F2">
        <w:rPr>
          <w:sz w:val="20"/>
        </w:rPr>
        <w:instrText>foreign-keys&gt;&lt;ref-type name="Statute, SI, EU leg, Treaties"&gt;31&lt;/ref-type&gt;&lt;contributors&gt;&lt;/contributors&gt;&lt;titles&gt;&lt;title&gt;The Health Protection (Coronavirus, Restrictions) (Steps) (England) Regulations 2021&lt;/title&gt;&lt;/titles&gt;&lt;dates&gt;&lt;year&gt;2021&lt;/year&gt;&lt;/dates&gt;&lt;urls&gt;</w:instrText>
      </w:r>
      <w:r w:rsidRPr="006119F2">
        <w:rPr>
          <w:sz w:val="20"/>
        </w:rPr>
        <w:instrText>&lt;/urls&gt;&lt;/record&gt;&lt;/Cite&gt;&lt;/EndNote&gt;</w:instrText>
      </w:r>
      <w:r w:rsidRPr="00E621DA">
        <w:rPr>
          <w:sz w:val="20"/>
        </w:rPr>
        <w:fldChar w:fldCharType="separate"/>
      </w:r>
      <w:r w:rsidRPr="00E621DA">
        <w:rPr>
          <w:noProof/>
          <w:sz w:val="20"/>
        </w:rPr>
        <w:t>The Health Protection (Coronavirus, Restrictions) (Steps) (England) Regulations 2021, regulation</w:t>
      </w:r>
      <w:r w:rsidRPr="006119F2">
        <w:rPr>
          <w:noProof/>
          <w:sz w:val="20"/>
        </w:rPr>
        <w:t xml:space="preserve"> 15</w:t>
      </w:r>
      <w:r w:rsidRPr="00E621DA">
        <w:rPr>
          <w:sz w:val="20"/>
        </w:rPr>
        <w:fldChar w:fldCharType="end"/>
      </w:r>
      <w:r w:rsidRPr="003C4496">
        <w:rPr>
          <w:sz w:val="20"/>
        </w:rPr>
        <w:t xml:space="preserve"> governing ‘organised gathering offences’</w:t>
      </w:r>
      <w:r w:rsidRPr="00E621DA">
        <w:rPr>
          <w:sz w:val="20"/>
        </w:rPr>
        <w:t>, which sets a first offence penalty of £10,000.</w:t>
      </w:r>
    </w:p>
  </w:footnote>
  <w:footnote w:id="38">
    <w:p w:rsidR="00C66C10" w:rsidRPr="006119F2" w:rsidP="0019452C">
      <w:pPr>
        <w:pStyle w:val="FootnoteText"/>
        <w:rPr>
          <w:sz w:val="20"/>
        </w:rPr>
      </w:pPr>
      <w:r w:rsidRPr="003C4496">
        <w:rPr>
          <w:rStyle w:val="FootnoteReference"/>
          <w:sz w:val="20"/>
        </w:rPr>
        <w:footnoteRef/>
      </w:r>
      <w:r w:rsidRPr="003C4496">
        <w:rPr>
          <w:sz w:val="20"/>
        </w:rPr>
        <w:t xml:space="preserve"> See eg</w:t>
      </w:r>
      <w:r w:rsidRPr="00E621DA">
        <w:rPr>
          <w:sz w:val="20"/>
        </w:rPr>
        <w:t xml:space="preserve"> ibid regulation 17 </w:t>
      </w:r>
      <w:r w:rsidRPr="006119F2">
        <w:rPr>
          <w:sz w:val="20"/>
        </w:rPr>
        <w:t>governing ‘general offences’ where the FPN for a first offence is £200 (£100 if paid within 14 days), subsequently doubling for successive breaches to a maximum of £6,400.</w:t>
      </w:r>
    </w:p>
  </w:footnote>
  <w:footnote w:id="39">
    <w:p w:rsidR="00BF5EFE" w:rsidRPr="006119F2" w:rsidP="0019452C">
      <w:pPr>
        <w:pStyle w:val="FootnoteText"/>
        <w:rPr>
          <w:sz w:val="20"/>
        </w:rPr>
      </w:pPr>
      <w:r w:rsidRPr="006119F2">
        <w:rPr>
          <w:rStyle w:val="FootnoteReference"/>
          <w:sz w:val="20"/>
        </w:rPr>
        <w:footnoteRef/>
      </w:r>
      <w:r w:rsidRPr="006119F2">
        <w:rPr>
          <w:sz w:val="20"/>
        </w:rPr>
        <w:t xml:space="preserve"> </w:t>
      </w:r>
      <w:r w:rsidRPr="006119F2">
        <w:rPr>
          <w:sz w:val="20"/>
        </w:rPr>
        <w:fldChar w:fldCharType="begin"/>
      </w:r>
      <w:r w:rsidRPr="006119F2">
        <w:rPr>
          <w:sz w:val="20"/>
        </w:rPr>
        <w:instrText xml:space="preserve"> ADDIN EN.CITE &lt;EndNote&gt;&lt;Cite&gt;&lt;Author&gt;McVie&lt;/Author&gt;&lt;Year&gt;2020</w:instrText>
      </w:r>
      <w:r w:rsidRPr="006119F2">
        <w:rPr>
          <w:sz w:val="20"/>
        </w:rPr>
        <w:instrText>&lt;/Year&gt;&lt;RecNum&gt;1582&lt;/RecNum&gt;&lt;DisplayText&gt;Susan McVie, ‘Lockdown fines more common in the poorest areas’ (&lt;style face="italic"&gt;Edinburgh Law School&lt;/style&gt;, 2020) &lt;style face="underline"&gt;https://www.ed.ac.uk/news/2020/lockdown-fines-more-common-in-the-poore</w:instrText>
      </w:r>
      <w:r w:rsidRPr="006119F2">
        <w:rPr>
          <w:sz w:val="20"/>
        </w:rPr>
        <w:instrText>st-areas&lt;/style&gt; accessed 2021/04/08&lt;/DisplayText&gt;&lt;record&gt;&lt;rec-number&gt;1582&lt;/rec-number&gt;&lt;foreign-keys&gt;&lt;key app="EN" db-id="x09zdvrxgxzpx3e2tf1xxswnspd00t99fe2r" timestamp="1617880899"&gt;1582&lt;/key&gt;&lt;/foreign-keys&gt;&lt;ref-type name="Web Page, Blog"&gt;12&lt;/ref-type&gt;&lt;co</w:instrText>
      </w:r>
      <w:r w:rsidRPr="006119F2">
        <w:rPr>
          <w:sz w:val="20"/>
        </w:rPr>
        <w:instrText>ntributors&gt;&lt;authors&gt;&lt;author&gt;McVie, Susan&lt;/author&gt;&lt;/authors&gt;&lt;/contributors&gt;&lt;titles&gt;&lt;title&gt;Lockdown fines more common in the poorest areas&lt;/title&gt;&lt;/titles&gt;&lt;number&gt;2021/04/08&lt;/number&gt;&lt;dates&gt;&lt;year&gt;2020&lt;/year&gt;&lt;/dates&gt;&lt;publisher&gt;Edinburgh Law School&lt;/publisher&gt;&lt;</w:instrText>
      </w:r>
      <w:r w:rsidRPr="006119F2">
        <w:rPr>
          <w:sz w:val="20"/>
        </w:rPr>
        <w:instrText>urls&gt;&lt;related-urls&gt;&lt;url&gt;https://www.ed.ac.uk/news/2020/lockdown-fines-more-common-in-the-poorest-areas&lt;/url&gt;&lt;/related-urls&gt;&lt;/urls&gt;&lt;/record&gt;&lt;/Cite&gt;&lt;/EndNote&gt;</w:instrText>
      </w:r>
      <w:r w:rsidRPr="006119F2">
        <w:rPr>
          <w:sz w:val="20"/>
        </w:rPr>
        <w:fldChar w:fldCharType="separate"/>
      </w:r>
      <w:r w:rsidRPr="006119F2">
        <w:rPr>
          <w:noProof/>
          <w:sz w:val="20"/>
        </w:rPr>
        <w:t>Susan McVie, ‘Lockdown fines more common in the poorest areas’ (</w:t>
      </w:r>
      <w:r w:rsidRPr="006119F2">
        <w:rPr>
          <w:i/>
          <w:noProof/>
          <w:sz w:val="20"/>
        </w:rPr>
        <w:t>Edinburgh Law School</w:t>
      </w:r>
      <w:r w:rsidRPr="006119F2">
        <w:rPr>
          <w:noProof/>
          <w:sz w:val="20"/>
        </w:rPr>
        <w:t xml:space="preserve">, 2020) </w:t>
      </w:r>
      <w:r w:rsidRPr="006119F2">
        <w:rPr>
          <w:noProof/>
          <w:sz w:val="20"/>
          <w:u w:val="single"/>
        </w:rPr>
        <w:t>https://</w:t>
      </w:r>
      <w:r w:rsidRPr="006119F2">
        <w:rPr>
          <w:noProof/>
          <w:sz w:val="20"/>
          <w:u w:val="single"/>
        </w:rPr>
        <w:t>www.ed.ac.uk/news/2020/lockdown-fines-more-common-in-the-poorest-areas</w:t>
      </w:r>
      <w:r>
        <w:rPr>
          <w:noProof/>
          <w:sz w:val="20"/>
        </w:rPr>
        <w:t xml:space="preserve">, </w:t>
      </w:r>
      <w:r w:rsidRPr="006119F2">
        <w:rPr>
          <w:noProof/>
          <w:sz w:val="20"/>
        </w:rPr>
        <w:t>accessed 21/04/08</w:t>
      </w:r>
      <w:r w:rsidRPr="006119F2">
        <w:rPr>
          <w:sz w:val="20"/>
        </w:rPr>
        <w:fldChar w:fldCharType="end"/>
      </w:r>
      <w:r w:rsidRPr="006119F2">
        <w:rPr>
          <w:sz w:val="20"/>
        </w:rPr>
        <w:t>.</w:t>
      </w:r>
    </w:p>
  </w:footnote>
  <w:footnote w:id="40">
    <w:p w:rsidR="00E33F65" w:rsidRPr="006119F2" w:rsidP="0019452C">
      <w:pPr>
        <w:pStyle w:val="FootnoteText"/>
        <w:rPr>
          <w:sz w:val="20"/>
        </w:rPr>
      </w:pPr>
      <w:r w:rsidRPr="006119F2">
        <w:rPr>
          <w:rStyle w:val="FootnoteReference"/>
          <w:sz w:val="20"/>
        </w:rPr>
        <w:footnoteRef/>
      </w:r>
      <w:r w:rsidRPr="006119F2">
        <w:rPr>
          <w:sz w:val="20"/>
        </w:rPr>
        <w:t xml:space="preserve"> See eg </w:t>
      </w:r>
      <w:r w:rsidRPr="00E621DA">
        <w:rPr>
          <w:sz w:val="20"/>
        </w:rPr>
        <w:fldChar w:fldCharType="begin"/>
      </w:r>
      <w:r w:rsidRPr="006119F2">
        <w:rPr>
          <w:sz w:val="20"/>
        </w:rPr>
        <w:instrText xml:space="preserve"> ADDIN EN.CITE </w:instrText>
      </w:r>
      <w:r w:rsidRPr="006119F2">
        <w:rPr>
          <w:sz w:val="20"/>
        </w:rPr>
        <w:fldChar w:fldCharType="begin"/>
      </w:r>
      <w:r w:rsidRPr="006119F2">
        <w:rPr>
          <w:sz w:val="20"/>
        </w:rPr>
        <w:instrText xml:space="preserve"> ADDIN EN.CITE.DATA </w:instrText>
      </w:r>
      <w:r w:rsidRPr="006119F2">
        <w:rPr>
          <w:sz w:val="20"/>
        </w:rPr>
        <w:fldChar w:fldCharType="separate"/>
      </w:r>
      <w:r w:rsidRPr="006119F2">
        <w:rPr>
          <w:sz w:val="20"/>
        </w:rPr>
        <w:fldChar w:fldCharType="end"/>
      </w:r>
      <w:r w:rsidRPr="00E621DA">
        <w:rPr>
          <w:sz w:val="20"/>
        </w:rPr>
        <w:fldChar w:fldCharType="separate"/>
      </w:r>
      <w:r w:rsidRPr="00E621DA">
        <w:rPr>
          <w:noProof/>
          <w:sz w:val="20"/>
        </w:rPr>
        <w:t>The Independe</w:t>
      </w:r>
      <w:r w:rsidRPr="006119F2">
        <w:rPr>
          <w:noProof/>
          <w:sz w:val="20"/>
        </w:rPr>
        <w:t xml:space="preserve">nt Sage, </w:t>
      </w:r>
      <w:r w:rsidRPr="006119F2">
        <w:rPr>
          <w:i/>
          <w:noProof/>
          <w:sz w:val="20"/>
        </w:rPr>
        <w:t>Independent SAGE briefing note on use of punishments in the Covid response</w:t>
      </w:r>
      <w:r w:rsidRPr="006119F2">
        <w:rPr>
          <w:noProof/>
          <w:sz w:val="20"/>
        </w:rPr>
        <w:t xml:space="preserve"> (2021) </w:t>
      </w:r>
      <w:r w:rsidRPr="006119F2">
        <w:rPr>
          <w:noProof/>
          <w:sz w:val="20"/>
          <w:u w:val="single"/>
        </w:rPr>
        <w:t>https://www.independentsage.org/independent-sage-briefing-note-on-use-of-punishments-in-the-covid-response/</w:t>
      </w:r>
      <w:r w:rsidRPr="006119F2">
        <w:rPr>
          <w:noProof/>
          <w:sz w:val="20"/>
        </w:rPr>
        <w:t xml:space="preserve"> accessed 2021/04/08; Sheheryar Banuri, ‘Will increasing fines make people comply with coronavirus rules?’ (</w:t>
      </w:r>
      <w:r w:rsidRPr="006119F2">
        <w:rPr>
          <w:i/>
          <w:noProof/>
          <w:sz w:val="20"/>
        </w:rPr>
        <w:t>The Conversation</w:t>
      </w:r>
      <w:r w:rsidRPr="006119F2">
        <w:rPr>
          <w:noProof/>
          <w:sz w:val="20"/>
        </w:rPr>
        <w:t xml:space="preserve">, 2020) </w:t>
      </w:r>
      <w:r w:rsidRPr="006119F2">
        <w:rPr>
          <w:noProof/>
          <w:sz w:val="20"/>
          <w:u w:val="single"/>
        </w:rPr>
        <w:t>https://theconver</w:t>
      </w:r>
      <w:r w:rsidRPr="006119F2">
        <w:rPr>
          <w:noProof/>
          <w:sz w:val="20"/>
          <w:u w:val="single"/>
        </w:rPr>
        <w:t>sation.com/will-increasing-fines-make-people-comply-with-coronavirus-rules-146900</w:t>
      </w:r>
      <w:r>
        <w:rPr>
          <w:noProof/>
          <w:sz w:val="20"/>
        </w:rPr>
        <w:t xml:space="preserve">, </w:t>
      </w:r>
      <w:r w:rsidRPr="006119F2">
        <w:rPr>
          <w:noProof/>
          <w:sz w:val="20"/>
        </w:rPr>
        <w:t>accessed 21/04/08</w:t>
      </w:r>
      <w:r w:rsidRPr="00E621DA">
        <w:rPr>
          <w:sz w:val="20"/>
        </w:rPr>
        <w:fldChar w:fldCharType="end"/>
      </w:r>
      <w:r w:rsidRPr="006119F2">
        <w:rPr>
          <w:sz w:val="20"/>
        </w:rPr>
        <w:t>.</w:t>
      </w:r>
    </w:p>
  </w:footnote>
  <w:footnote w:id="41">
    <w:p w:rsidR="00FE69BD" w:rsidRPr="00E621DA" w:rsidP="0019452C">
      <w:pPr>
        <w:pStyle w:val="FootnoteText"/>
        <w:rPr>
          <w:sz w:val="20"/>
        </w:rPr>
      </w:pPr>
      <w:r w:rsidRPr="003C4496">
        <w:rPr>
          <w:rStyle w:val="FootnoteReference"/>
          <w:sz w:val="20"/>
        </w:rPr>
        <w:footnoteRef/>
      </w:r>
      <w:r w:rsidRPr="003C4496">
        <w:rPr>
          <w:sz w:val="20"/>
        </w:rPr>
        <w:t xml:space="preserve"> See eg ibid regulations 10(12), 11(1)(d).</w:t>
      </w:r>
    </w:p>
  </w:footnote>
  <w:footnote w:id="42">
    <w:p w:rsidR="003472BB" w:rsidRPr="006119F2" w:rsidP="0019452C">
      <w:pPr>
        <w:pStyle w:val="Heading1"/>
        <w:numPr>
          <w:ilvl w:val="0"/>
          <w:numId w:val="0"/>
        </w:numPr>
        <w:spacing w:before="0"/>
        <w:rPr>
          <w:b w:val="0"/>
          <w:bCs/>
          <w:sz w:val="20"/>
          <w:szCs w:val="20"/>
        </w:rPr>
      </w:pPr>
      <w:r w:rsidRPr="003C4496">
        <w:rPr>
          <w:rStyle w:val="FootnoteReference"/>
          <w:sz w:val="20"/>
          <w:szCs w:val="20"/>
        </w:rPr>
        <w:footnoteRef/>
      </w:r>
      <w:r w:rsidRPr="003C4496">
        <w:rPr>
          <w:sz w:val="20"/>
          <w:szCs w:val="20"/>
        </w:rPr>
        <w:t xml:space="preserve"> </w:t>
      </w:r>
      <w:r w:rsidRPr="00E621DA">
        <w:rPr>
          <w:b w:val="0"/>
          <w:bCs/>
          <w:sz w:val="20"/>
          <w:szCs w:val="20"/>
        </w:rPr>
        <w:t xml:space="preserve">NPCC, ‘Analysis of Coronavirus Fines Published’, (27 Jul 2020), </w:t>
      </w:r>
      <w:r w:rsidRPr="005322AE">
        <w:rPr>
          <w:b w:val="0"/>
          <w:bCs/>
          <w:sz w:val="20"/>
          <w:szCs w:val="20"/>
          <w:u w:val="single"/>
        </w:rPr>
        <w:t>https://news.npcc.police.uk/releases/inde</w:t>
      </w:r>
      <w:r w:rsidRPr="005322AE">
        <w:rPr>
          <w:b w:val="0"/>
          <w:bCs/>
          <w:sz w:val="20"/>
          <w:szCs w:val="20"/>
          <w:u w:val="single"/>
        </w:rPr>
        <w:t>pendent-analysis-of-coronavirus-fines-published</w:t>
      </w:r>
      <w:r w:rsidRPr="006119F2">
        <w:rPr>
          <w:b w:val="0"/>
          <w:bCs/>
          <w:sz w:val="20"/>
          <w:szCs w:val="20"/>
        </w:rPr>
        <w:t>, accessed 21/04/07.</w:t>
      </w:r>
    </w:p>
  </w:footnote>
  <w:footnote w:id="43">
    <w:p w:rsidR="00530F98" w:rsidRPr="006119F2" w:rsidP="0019452C">
      <w:pPr>
        <w:pStyle w:val="Heading1"/>
        <w:numPr>
          <w:ilvl w:val="0"/>
          <w:numId w:val="0"/>
        </w:numPr>
        <w:spacing w:before="0"/>
        <w:rPr>
          <w:sz w:val="20"/>
          <w:szCs w:val="20"/>
        </w:rPr>
      </w:pPr>
      <w:r w:rsidRPr="0084074F">
        <w:rPr>
          <w:rStyle w:val="FootnoteReference"/>
          <w:sz w:val="20"/>
          <w:szCs w:val="20"/>
        </w:rPr>
        <w:footnoteRef/>
      </w:r>
      <w:r w:rsidRPr="006119F2">
        <w:rPr>
          <w:sz w:val="20"/>
          <w:szCs w:val="20"/>
        </w:rPr>
        <w:t xml:space="preserve"> </w:t>
      </w:r>
      <w:r w:rsidRPr="006119F2">
        <w:rPr>
          <w:b w:val="0"/>
          <w:color w:val="000000" w:themeColor="text1"/>
          <w:sz w:val="20"/>
          <w:szCs w:val="20"/>
        </w:rPr>
        <w:t xml:space="preserve">Liberty Investigates, ‘BAME People Disproportionately Targeted By Coronavirus Fines’ (26 May 2020) </w:t>
      </w:r>
      <w:r w:rsidRPr="00FB5EFD">
        <w:rPr>
          <w:b w:val="0"/>
          <w:sz w:val="20"/>
          <w:szCs w:val="20"/>
          <w:u w:val="single"/>
        </w:rPr>
        <w:t>https://libertyinvestigates.org.uk/articles/bame-people-disproportionately-targeted-by-coronavirus-fines/</w:t>
      </w:r>
      <w:r w:rsidRPr="005322AE">
        <w:rPr>
          <w:b w:val="0"/>
          <w:color w:val="000000" w:themeColor="text1"/>
          <w:sz w:val="20"/>
          <w:szCs w:val="20"/>
          <w:u w:val="single"/>
        </w:rPr>
        <w:t>,</w:t>
      </w:r>
      <w:r>
        <w:rPr>
          <w:b w:val="0"/>
          <w:color w:val="000000" w:themeColor="text1"/>
          <w:sz w:val="20"/>
          <w:szCs w:val="20"/>
          <w:u w:val="single"/>
        </w:rPr>
        <w:t xml:space="preserve"> </w:t>
      </w:r>
      <w:r w:rsidRPr="00FB5EFD">
        <w:rPr>
          <w:b w:val="0"/>
          <w:color w:val="000000" w:themeColor="text1"/>
          <w:sz w:val="20"/>
          <w:szCs w:val="20"/>
        </w:rPr>
        <w:t>accessed 21/04/07.</w:t>
      </w:r>
    </w:p>
  </w:footnote>
  <w:footnote w:id="44">
    <w:p w:rsidR="003C4496" w:rsidRPr="006119F2" w:rsidP="0019452C">
      <w:pPr>
        <w:pStyle w:val="FootnoteText"/>
        <w:rPr>
          <w:sz w:val="20"/>
        </w:rPr>
      </w:pPr>
      <w:r w:rsidRPr="006119F2">
        <w:rPr>
          <w:rStyle w:val="FootnoteReference"/>
          <w:sz w:val="20"/>
        </w:rPr>
        <w:footnoteRef/>
      </w:r>
      <w:r w:rsidRPr="006119F2">
        <w:rPr>
          <w:sz w:val="20"/>
        </w:rPr>
        <w:t xml:space="preserve"> See eg UK Parliament Joint Committee on Human Rights, Oral Evidence (Virtual Proceeding), ‘The Government’s Response to Covid-19</w:t>
      </w:r>
      <w:r w:rsidRPr="006119F2">
        <w:rPr>
          <w:sz w:val="20"/>
        </w:rPr>
        <w:t xml:space="preserve">: Human Rights Implications of Long Lockdown’, Q26 (24 February 2021) </w:t>
      </w:r>
      <w:r w:rsidRPr="005322AE">
        <w:rPr>
          <w:sz w:val="20"/>
          <w:u w:val="single"/>
        </w:rPr>
        <w:t>https://committees.parliament.uk/oralevidence/1757/pdf/</w:t>
      </w:r>
      <w:r>
        <w:rPr>
          <w:sz w:val="20"/>
        </w:rPr>
        <w:t xml:space="preserve">, </w:t>
      </w:r>
      <w:r w:rsidRPr="006119F2">
        <w:rPr>
          <w:sz w:val="20"/>
        </w:rPr>
        <w:t xml:space="preserve">accessed </w:t>
      </w:r>
      <w:r>
        <w:rPr>
          <w:sz w:val="20"/>
        </w:rPr>
        <w:t>21/04/</w:t>
      </w:r>
      <w:r w:rsidRPr="006119F2">
        <w:rPr>
          <w:sz w:val="20"/>
        </w:rPr>
        <w:t>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D3D02"/>
    <w:multiLevelType w:val="hybridMultilevel"/>
    <w:tmpl w:val="2CBA596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F677C5"/>
    <w:multiLevelType w:val="hybridMultilevel"/>
    <w:tmpl w:val="8D8EEBD6"/>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54D6307"/>
    <w:multiLevelType w:val="hybridMultilevel"/>
    <w:tmpl w:val="2CBA596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32E61ED"/>
    <w:multiLevelType w:val="hybridMultilevel"/>
    <w:tmpl w:val="5A1EB18E"/>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8BD781C"/>
    <w:multiLevelType w:val="multilevel"/>
    <w:tmpl w:val="CE2E6B36"/>
    <w:lvl w:ilvl="0">
      <w:start w:val="1"/>
      <w:numFmt w:val="decimal"/>
      <w:pStyle w:val="Heading1"/>
      <w:suff w:val="space"/>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decimal"/>
      <w:pStyle w:val="Heading2"/>
      <w:suff w:val="space"/>
      <w:lvlText w:val="%1.%2."/>
      <w:lvlJc w:val="left"/>
      <w:pPr>
        <w:ind w:left="284" w:firstLine="0"/>
      </w:pPr>
      <w:rPr>
        <w:rFonts w:ascii="Goudy Old Style" w:hAnsi="Goudy Old Style"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specVanish w:val="0"/>
      </w:rPr>
    </w:lvl>
    <w:lvl w:ilvl="2">
      <w:start w:val="1"/>
      <w:numFmt w:val="decimal"/>
      <w:pStyle w:val="Heading3"/>
      <w:suff w:val="space"/>
      <w:lvlText w:val="%1.%2.%3."/>
      <w:lvlJc w:val="left"/>
      <w:pPr>
        <w:ind w:left="567" w:firstLine="0"/>
      </w:pPr>
      <w:rPr>
        <w:rFonts w:hint="default"/>
        <w:b w:val="0"/>
        <w:bCs/>
      </w:rPr>
    </w:lvl>
    <w:lvl w:ilvl="3">
      <w:start w:val="1"/>
      <w:numFmt w:val="decimal"/>
      <w:pStyle w:val="Heading4"/>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rPr>
    </w:lvl>
    <w:lvl w:ilvl="7">
      <w:start w:val="1"/>
      <w:numFmt w:val="decimal"/>
      <w:suff w:val="space"/>
      <w:lvlText w:val="%1.%2.%3.%4.%5.%6.%7.%8."/>
      <w:lvlJc w:val="left"/>
      <w:pPr>
        <w:ind w:left="1985" w:firstLine="0"/>
      </w:pPr>
      <w:rPr>
        <w:rFonts w:hint="default"/>
      </w:rPr>
    </w:lvl>
    <w:lvl w:ilvl="8">
      <w:start w:val="1"/>
      <w:numFmt w:val="decimal"/>
      <w:suff w:val="space"/>
      <w:lvlText w:val="%1.%2.%3.%4.%5.%6.%7.%8.%9."/>
      <w:lvlJc w:val="left"/>
      <w:pPr>
        <w:ind w:left="2268" w:firstLine="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1"/>
  </w:num>
  <w:num w:numId="14">
    <w:abstractNumId w:val="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OSCOLA 4th (Isra)&lt;/Style&gt;&lt;LeftDelim&gt;{&lt;/LeftDelim&gt;&lt;RightDelim&gt;}&lt;/RightDelim&gt;&lt;FontName&gt;Goudy Old Style&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9zdvrxgxzpx3e2tf1xxswnspd00t99fe2r&quot;&gt;Isra&lt;record-ids&gt;&lt;item&gt;138&lt;/item&gt;&lt;item&gt;458&lt;/item&gt;&lt;item&gt;1562&lt;/item&gt;&lt;item&gt;1563&lt;/item&gt;&lt;item&gt;1566&lt;/item&gt;&lt;item&gt;1567&lt;/item&gt;&lt;item&gt;1568&lt;/item&gt;&lt;item&gt;1569&lt;/item&gt;&lt;item&gt;1570&lt;/item&gt;&lt;item&gt;1571&lt;/item&gt;&lt;item&gt;1572&lt;/item&gt;&lt;item&gt;1573&lt;/item&gt;&lt;item&gt;1574&lt;/item&gt;&lt;item&gt;1575&lt;/item&gt;&lt;item&gt;1576&lt;/item&gt;&lt;item&gt;1577&lt;/item&gt;&lt;item&gt;1579&lt;/item&gt;&lt;item&gt;1580&lt;/item&gt;&lt;item&gt;1581&lt;/item&gt;&lt;item&gt;1582&lt;/item&gt;&lt;item&gt;1583&lt;/item&gt;&lt;item&gt;1584&lt;/item&gt;&lt;/record-ids&gt;&lt;/item&gt;&lt;/Libraries&gt;"/>
  </w:docVars>
  <m:mathPr>
    <m:mathFont m:val="Cambria Math"/>
  </m:mathPr>
  <w:themeFontLang w:val="en-GB"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10"/>
    <w:unhideWhenUsed/>
    <w:rsid w:val="003641C5"/>
    <w:pPr>
      <w:spacing w:after="0" w:line="240" w:lineRule="auto"/>
    </w:pPr>
    <w:rPr>
      <w:rFonts w:ascii="Goudy Old Style" w:hAnsi="Goudy Old Style" w:cs="Times New Roman"/>
      <w:sz w:val="24"/>
      <w:szCs w:val="24"/>
    </w:rPr>
  </w:style>
  <w:style w:type="paragraph" w:styleId="Heading1">
    <w:name w:val="heading 1"/>
    <w:basedOn w:val="ListParagraph"/>
    <w:next w:val="Body"/>
    <w:link w:val="Heading1Char"/>
    <w:uiPriority w:val="9"/>
    <w:qFormat/>
    <w:rsid w:val="00267B97"/>
    <w:pPr>
      <w:numPr>
        <w:numId w:val="12"/>
      </w:numPr>
      <w:spacing w:before="240"/>
      <w:outlineLvl w:val="0"/>
    </w:pPr>
    <w:rPr>
      <w:rFonts w:cstheme="minorBidi"/>
      <w:b/>
    </w:rPr>
  </w:style>
  <w:style w:type="paragraph" w:styleId="Heading2">
    <w:name w:val="heading 2"/>
    <w:basedOn w:val="ListParagraph"/>
    <w:next w:val="Body"/>
    <w:link w:val="Heading2Char"/>
    <w:uiPriority w:val="9"/>
    <w:unhideWhenUsed/>
    <w:qFormat/>
    <w:rsid w:val="00267D48"/>
    <w:pPr>
      <w:numPr>
        <w:ilvl w:val="1"/>
        <w:numId w:val="12"/>
      </w:numPr>
      <w:spacing w:before="240"/>
      <w:outlineLvl w:val="1"/>
    </w:pPr>
    <w:rPr>
      <w:b/>
    </w:rPr>
  </w:style>
  <w:style w:type="paragraph" w:styleId="Heading3">
    <w:name w:val="heading 3"/>
    <w:basedOn w:val="ListParagraph"/>
    <w:next w:val="Body"/>
    <w:link w:val="Heading3Char"/>
    <w:uiPriority w:val="9"/>
    <w:unhideWhenUsed/>
    <w:qFormat/>
    <w:rsid w:val="00267D48"/>
    <w:pPr>
      <w:numPr>
        <w:ilvl w:val="2"/>
        <w:numId w:val="12"/>
      </w:numPr>
      <w:spacing w:before="240"/>
      <w:contextualSpacing w:val="0"/>
      <w:outlineLvl w:val="2"/>
    </w:pPr>
    <w:rPr>
      <w:b/>
    </w:rPr>
  </w:style>
  <w:style w:type="paragraph" w:styleId="Heading4">
    <w:name w:val="heading 4"/>
    <w:basedOn w:val="Heading3"/>
    <w:next w:val="Body"/>
    <w:link w:val="Heading4Char"/>
    <w:uiPriority w:val="9"/>
    <w:unhideWhenUsed/>
    <w:qFormat/>
    <w:rsid w:val="002F72C7"/>
    <w:pPr>
      <w:numPr>
        <w:ilvl w:val="3"/>
      </w:num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3641C5"/>
    <w:pPr>
      <w:spacing w:before="240"/>
      <w:jc w:val="both"/>
    </w:pPr>
  </w:style>
  <w:style w:type="character" w:customStyle="1" w:styleId="Heading1Char">
    <w:name w:val="Heading 1 Char"/>
    <w:basedOn w:val="DefaultParagraphFont"/>
    <w:link w:val="Heading1"/>
    <w:uiPriority w:val="9"/>
    <w:rsid w:val="00267B97"/>
    <w:rPr>
      <w:rFonts w:ascii="Goudy Old Style" w:hAnsi="Goudy Old Style"/>
      <w:b/>
      <w:sz w:val="24"/>
      <w:szCs w:val="24"/>
    </w:rPr>
  </w:style>
  <w:style w:type="paragraph" w:styleId="ListParagraph">
    <w:name w:val="List Paragraph"/>
    <w:basedOn w:val="Normal"/>
    <w:uiPriority w:val="34"/>
    <w:unhideWhenUsed/>
    <w:rsid w:val="002F72C7"/>
    <w:pPr>
      <w:ind w:left="720"/>
      <w:contextualSpacing/>
    </w:pPr>
  </w:style>
  <w:style w:type="character" w:customStyle="1" w:styleId="Heading2Char">
    <w:name w:val="Heading 2 Char"/>
    <w:basedOn w:val="DefaultParagraphFont"/>
    <w:link w:val="Heading2"/>
    <w:uiPriority w:val="9"/>
    <w:rsid w:val="00141357"/>
    <w:rPr>
      <w:rFonts w:ascii="Goudy Old Style" w:hAnsi="Goudy Old Style" w:cs="Times New Roman"/>
      <w:b/>
      <w:sz w:val="24"/>
      <w:szCs w:val="24"/>
    </w:rPr>
  </w:style>
  <w:style w:type="character" w:customStyle="1" w:styleId="Heading3Char">
    <w:name w:val="Heading 3 Char"/>
    <w:basedOn w:val="DefaultParagraphFont"/>
    <w:link w:val="Heading3"/>
    <w:uiPriority w:val="9"/>
    <w:rsid w:val="002F72C7"/>
    <w:rPr>
      <w:rFonts w:ascii="Candara" w:hAnsi="Candara"/>
      <w:b/>
      <w:sz w:val="20"/>
    </w:rPr>
  </w:style>
  <w:style w:type="character" w:customStyle="1" w:styleId="Heading4Char">
    <w:name w:val="Heading 4 Char"/>
    <w:basedOn w:val="DefaultParagraphFont"/>
    <w:link w:val="Heading4"/>
    <w:uiPriority w:val="9"/>
    <w:rsid w:val="002F72C7"/>
    <w:rPr>
      <w:rFonts w:ascii="Candara" w:hAnsi="Candara"/>
      <w:sz w:val="20"/>
    </w:rPr>
  </w:style>
  <w:style w:type="paragraph" w:styleId="FootnoteText">
    <w:name w:val="footnote text"/>
    <w:basedOn w:val="Normal"/>
    <w:link w:val="FootnoteTextChar"/>
    <w:uiPriority w:val="99"/>
    <w:semiHidden/>
    <w:unhideWhenUsed/>
    <w:rsid w:val="002F72C7"/>
    <w:rPr>
      <w:szCs w:val="20"/>
    </w:rPr>
  </w:style>
  <w:style w:type="character" w:customStyle="1" w:styleId="FootnoteTextChar">
    <w:name w:val="Footnote Text Char"/>
    <w:basedOn w:val="DefaultParagraphFont"/>
    <w:link w:val="FootnoteText"/>
    <w:uiPriority w:val="99"/>
    <w:semiHidden/>
    <w:rsid w:val="002F72C7"/>
    <w:rPr>
      <w:rFonts w:ascii="Candara" w:hAnsi="Candara"/>
      <w:sz w:val="20"/>
      <w:szCs w:val="20"/>
    </w:rPr>
  </w:style>
  <w:style w:type="character" w:styleId="FootnoteReference">
    <w:name w:val="footnote reference"/>
    <w:basedOn w:val="DefaultParagraphFont"/>
    <w:uiPriority w:val="99"/>
    <w:semiHidden/>
    <w:unhideWhenUsed/>
    <w:rsid w:val="002F72C7"/>
    <w:rPr>
      <w:vertAlign w:val="superscript"/>
    </w:rPr>
  </w:style>
  <w:style w:type="paragraph" w:styleId="Title">
    <w:name w:val="Title"/>
    <w:basedOn w:val="Normal"/>
    <w:next w:val="Body"/>
    <w:link w:val="TitleChar"/>
    <w:qFormat/>
    <w:rsid w:val="002F72C7"/>
    <w:pPr>
      <w:jc w:val="center"/>
    </w:pPr>
    <w:rPr>
      <w:b/>
      <w:bCs/>
      <w:szCs w:val="20"/>
    </w:rPr>
  </w:style>
  <w:style w:type="character" w:customStyle="1" w:styleId="TitleChar">
    <w:name w:val="Title Char"/>
    <w:basedOn w:val="DefaultParagraphFont"/>
    <w:link w:val="Title"/>
    <w:rsid w:val="002F72C7"/>
    <w:rPr>
      <w:rFonts w:ascii="Candara" w:hAnsi="Candara"/>
      <w:b/>
      <w:bCs/>
      <w:sz w:val="20"/>
      <w:szCs w:val="20"/>
    </w:rPr>
  </w:style>
  <w:style w:type="paragraph" w:styleId="Quote">
    <w:name w:val="Quote"/>
    <w:basedOn w:val="Body"/>
    <w:next w:val="Body"/>
    <w:link w:val="QuoteChar"/>
    <w:uiPriority w:val="2"/>
    <w:qFormat/>
    <w:rsid w:val="002F72C7"/>
    <w:pPr>
      <w:ind w:left="284"/>
    </w:pPr>
  </w:style>
  <w:style w:type="character" w:customStyle="1" w:styleId="QuoteChar">
    <w:name w:val="Quote Char"/>
    <w:basedOn w:val="DefaultParagraphFont"/>
    <w:link w:val="Quote"/>
    <w:uiPriority w:val="2"/>
    <w:rsid w:val="002F72C7"/>
    <w:rPr>
      <w:rFonts w:ascii="Candara" w:hAnsi="Candara"/>
      <w:sz w:val="20"/>
    </w:rPr>
  </w:style>
  <w:style w:type="paragraph" w:customStyle="1" w:styleId="EndNoteBibliography">
    <w:name w:val="EndNote Bibliography"/>
    <w:basedOn w:val="Normal"/>
    <w:link w:val="EndNoteBibliographyChar"/>
    <w:rsid w:val="00BF322D"/>
    <w:rPr>
      <w:noProof/>
      <w:sz w:val="22"/>
    </w:rPr>
  </w:style>
  <w:style w:type="character" w:customStyle="1" w:styleId="EndNoteBibliographyChar">
    <w:name w:val="EndNote Bibliography Char"/>
    <w:basedOn w:val="DefaultParagraphFont"/>
    <w:link w:val="EndNoteBibliography"/>
    <w:rsid w:val="00BF322D"/>
    <w:rPr>
      <w:rFonts w:ascii="Candara" w:hAnsi="Candara"/>
      <w:noProof/>
    </w:rPr>
  </w:style>
  <w:style w:type="paragraph" w:customStyle="1" w:styleId="EndNoteBibliographyTitle">
    <w:name w:val="EndNote Bibliography Title"/>
    <w:basedOn w:val="Normal"/>
    <w:link w:val="EndNoteBibliographyTitleChar"/>
    <w:rsid w:val="00BF322D"/>
    <w:rPr>
      <w:noProof/>
      <w:sz w:val="22"/>
    </w:rPr>
  </w:style>
  <w:style w:type="character" w:customStyle="1" w:styleId="EndNoteBibliographyTitleChar">
    <w:name w:val="EndNote Bibliography Title Char"/>
    <w:basedOn w:val="DefaultParagraphFont"/>
    <w:link w:val="EndNoteBibliographyTitle"/>
    <w:rsid w:val="00BF322D"/>
    <w:rPr>
      <w:rFonts w:ascii="Candara" w:hAnsi="Candara"/>
      <w:noProof/>
    </w:rPr>
  </w:style>
  <w:style w:type="paragraph" w:customStyle="1" w:styleId="Mumford">
    <w:name w:val="Mumford"/>
    <w:basedOn w:val="Body"/>
    <w:uiPriority w:val="10"/>
    <w:qFormat/>
    <w:rsid w:val="004A288F"/>
    <w:pPr>
      <w:spacing w:before="120"/>
      <w:ind w:left="284" w:hanging="284"/>
      <w:jc w:val="left"/>
    </w:pPr>
    <w:rPr>
      <w:szCs w:val="20"/>
    </w:rPr>
  </w:style>
  <w:style w:type="paragraph" w:customStyle="1" w:styleId="MumfordQuote">
    <w:name w:val="Mumford Quote"/>
    <w:basedOn w:val="Mumford"/>
    <w:next w:val="Mumford"/>
    <w:uiPriority w:val="10"/>
    <w:qFormat/>
    <w:rsid w:val="00EC458D"/>
    <w:pPr>
      <w:ind w:firstLine="0"/>
    </w:pPr>
  </w:style>
  <w:style w:type="paragraph" w:styleId="CommentText">
    <w:name w:val="annotation text"/>
    <w:basedOn w:val="Normal"/>
    <w:link w:val="CommentTextChar"/>
    <w:uiPriority w:val="99"/>
    <w:unhideWhenUsed/>
    <w:rsid w:val="002F72C7"/>
    <w:rPr>
      <w:szCs w:val="20"/>
    </w:rPr>
  </w:style>
  <w:style w:type="character" w:customStyle="1" w:styleId="CommentTextChar">
    <w:name w:val="Comment Text Char"/>
    <w:basedOn w:val="DefaultParagraphFont"/>
    <w:link w:val="CommentText"/>
    <w:uiPriority w:val="99"/>
    <w:rsid w:val="002F72C7"/>
    <w:rPr>
      <w:rFonts w:ascii="Candara" w:hAnsi="Candara"/>
      <w:sz w:val="20"/>
      <w:szCs w:val="20"/>
    </w:rPr>
  </w:style>
  <w:style w:type="paragraph" w:styleId="Header">
    <w:name w:val="header"/>
    <w:basedOn w:val="Normal"/>
    <w:link w:val="HeaderChar"/>
    <w:uiPriority w:val="99"/>
    <w:unhideWhenUsed/>
    <w:rsid w:val="002F72C7"/>
    <w:pPr>
      <w:tabs>
        <w:tab w:val="center" w:pos="4513"/>
        <w:tab w:val="right" w:pos="9026"/>
      </w:tabs>
    </w:pPr>
  </w:style>
  <w:style w:type="character" w:customStyle="1" w:styleId="HeaderChar">
    <w:name w:val="Header Char"/>
    <w:basedOn w:val="DefaultParagraphFont"/>
    <w:link w:val="Header"/>
    <w:uiPriority w:val="99"/>
    <w:rsid w:val="002F72C7"/>
    <w:rPr>
      <w:rFonts w:ascii="Candara" w:hAnsi="Candara"/>
      <w:sz w:val="20"/>
    </w:rPr>
  </w:style>
  <w:style w:type="paragraph" w:styleId="Footer">
    <w:name w:val="footer"/>
    <w:basedOn w:val="Normal"/>
    <w:link w:val="FooterChar"/>
    <w:uiPriority w:val="99"/>
    <w:unhideWhenUsed/>
    <w:rsid w:val="002F72C7"/>
    <w:pPr>
      <w:tabs>
        <w:tab w:val="center" w:pos="4513"/>
        <w:tab w:val="right" w:pos="9026"/>
      </w:tabs>
    </w:pPr>
  </w:style>
  <w:style w:type="character" w:customStyle="1" w:styleId="FooterChar">
    <w:name w:val="Footer Char"/>
    <w:basedOn w:val="DefaultParagraphFont"/>
    <w:link w:val="Footer"/>
    <w:uiPriority w:val="99"/>
    <w:rsid w:val="002F72C7"/>
    <w:rPr>
      <w:rFonts w:ascii="Candara" w:hAnsi="Candara"/>
      <w:sz w:val="20"/>
    </w:rPr>
  </w:style>
  <w:style w:type="character" w:styleId="CommentReference">
    <w:name w:val="annotation reference"/>
    <w:basedOn w:val="DefaultParagraphFont"/>
    <w:uiPriority w:val="99"/>
    <w:semiHidden/>
    <w:unhideWhenUsed/>
    <w:rsid w:val="002F72C7"/>
    <w:rPr>
      <w:sz w:val="16"/>
      <w:szCs w:val="16"/>
    </w:rPr>
  </w:style>
  <w:style w:type="paragraph" w:styleId="CommentSubject">
    <w:name w:val="annotation subject"/>
    <w:basedOn w:val="CommentText"/>
    <w:next w:val="CommentText"/>
    <w:link w:val="CommentSubjectChar"/>
    <w:uiPriority w:val="99"/>
    <w:semiHidden/>
    <w:unhideWhenUsed/>
    <w:rsid w:val="002F72C7"/>
    <w:rPr>
      <w:b/>
      <w:bCs/>
    </w:rPr>
  </w:style>
  <w:style w:type="character" w:customStyle="1" w:styleId="CommentSubjectChar">
    <w:name w:val="Comment Subject Char"/>
    <w:basedOn w:val="CommentTextChar"/>
    <w:link w:val="CommentSubject"/>
    <w:uiPriority w:val="99"/>
    <w:semiHidden/>
    <w:rsid w:val="002F72C7"/>
    <w:rPr>
      <w:rFonts w:ascii="Candara" w:hAnsi="Candara"/>
      <w:b/>
      <w:bCs/>
      <w:sz w:val="20"/>
      <w:szCs w:val="20"/>
    </w:rPr>
  </w:style>
  <w:style w:type="paragraph" w:styleId="BalloonText">
    <w:name w:val="Balloon Text"/>
    <w:basedOn w:val="Normal"/>
    <w:link w:val="BalloonTextChar"/>
    <w:uiPriority w:val="99"/>
    <w:semiHidden/>
    <w:unhideWhenUsed/>
    <w:rsid w:val="002F72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C7"/>
    <w:rPr>
      <w:rFonts w:ascii="Segoe UI" w:hAnsi="Segoe UI" w:cs="Segoe UI"/>
      <w:sz w:val="18"/>
      <w:szCs w:val="18"/>
    </w:rPr>
  </w:style>
  <w:style w:type="character" w:styleId="Hyperlink">
    <w:name w:val="Hyperlink"/>
    <w:basedOn w:val="DefaultParagraphFont"/>
    <w:uiPriority w:val="99"/>
    <w:unhideWhenUsed/>
    <w:rsid w:val="006346AB"/>
    <w:rPr>
      <w:color w:val="0563C1" w:themeColor="hyperlink"/>
      <w:u w:val="single"/>
    </w:rPr>
  </w:style>
  <w:style w:type="character" w:customStyle="1" w:styleId="UnresolvedMention1">
    <w:name w:val="Unresolved Mention1"/>
    <w:basedOn w:val="DefaultParagraphFont"/>
    <w:uiPriority w:val="99"/>
    <w:rsid w:val="006346AB"/>
    <w:rPr>
      <w:color w:val="605E5C"/>
      <w:shd w:val="clear" w:color="auto" w:fill="E1DFDD"/>
    </w:rPr>
  </w:style>
  <w:style w:type="paragraph" w:styleId="Revision">
    <w:name w:val="Revision"/>
    <w:hidden/>
    <w:uiPriority w:val="99"/>
    <w:semiHidden/>
    <w:rsid w:val="006A1CA6"/>
    <w:pPr>
      <w:spacing w:after="0" w:line="240" w:lineRule="auto"/>
    </w:pPr>
    <w:rPr>
      <w:rFonts w:ascii="Goudy Old Style" w:hAnsi="Goudy Old Style" w:cs="Times New Roman"/>
      <w:sz w:val="24"/>
      <w:szCs w:val="24"/>
    </w:rPr>
  </w:style>
  <w:style w:type="paragraph" w:styleId="NormalWeb">
    <w:name w:val="Normal (Web)"/>
    <w:basedOn w:val="Normal"/>
    <w:uiPriority w:val="99"/>
    <w:unhideWhenUsed/>
    <w:rsid w:val="00D40CA6"/>
    <w:pPr>
      <w:spacing w:before="100" w:beforeAutospacing="1" w:after="100" w:afterAutospacing="1"/>
    </w:pPr>
    <w:rPr>
      <w:rFonts w:ascii="Times New Roman" w:eastAsia="Times New Roman" w:hAnsi="Times New Roman"/>
      <w:lang w:eastAsia="en-GB"/>
    </w:rPr>
  </w:style>
  <w:style w:type="character" w:styleId="FollowedHyperlink">
    <w:name w:val="FollowedHyperlink"/>
    <w:basedOn w:val="DefaultParagraphFont"/>
    <w:uiPriority w:val="99"/>
    <w:semiHidden/>
    <w:unhideWhenUsed/>
    <w:rsid w:val="002B50FD"/>
    <w:rPr>
      <w:color w:val="954F72" w:themeColor="followedHyperlink"/>
      <w:u w:val="single"/>
    </w:rPr>
  </w:style>
  <w:style w:type="character" w:styleId="PageNumber">
    <w:name w:val="page number"/>
    <w:basedOn w:val="DefaultParagraphFont"/>
    <w:uiPriority w:val="99"/>
    <w:semiHidden/>
    <w:unhideWhenUsed/>
    <w:rsid w:val="00A12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C62C5-B694-424D-A74A-3F4FA108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