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92E" w:rsidRDefault="00B1092E" w:rsidP="00B1092E">
      <w:pPr>
        <w:pStyle w:val="Heading1"/>
      </w:pPr>
      <w:bookmarkStart w:id="0" w:name="_Toc145073195"/>
      <w:r w:rsidRPr="001F25E2">
        <w:rPr>
          <w:b/>
        </w:rPr>
        <w:t>Appendix I:</w:t>
      </w:r>
      <w:r>
        <w:t xml:space="preserve"> Set tasks supporting engagement with the literature, including critical analysis of learning task 1</w:t>
      </w:r>
      <w:bookmarkEnd w:id="0"/>
      <w:r>
        <w:t xml:space="preserve"> – upload to </w:t>
      </w:r>
      <w:proofErr w:type="spellStart"/>
      <w:r>
        <w:t>Pebblepad</w:t>
      </w:r>
      <w:proofErr w:type="spellEnd"/>
      <w:r>
        <w:t>.</w:t>
      </w:r>
    </w:p>
    <w:p w:rsidR="00B1092E" w:rsidRPr="008911D3" w:rsidRDefault="00B1092E" w:rsidP="00B1092E">
      <w:pPr>
        <w:rPr>
          <w:i/>
          <w:iCs/>
        </w:rPr>
      </w:pPr>
      <w:proofErr w:type="gramStart"/>
      <w:r w:rsidRPr="008911D3">
        <w:rPr>
          <w:i/>
          <w:iCs/>
        </w:rPr>
        <w:t xml:space="preserve">Pre </w:t>
      </w:r>
      <w:r>
        <w:rPr>
          <w:i/>
          <w:iCs/>
        </w:rPr>
        <w:t>ITAP</w:t>
      </w:r>
      <w:r w:rsidRPr="008911D3">
        <w:rPr>
          <w:i/>
          <w:iCs/>
        </w:rPr>
        <w:t xml:space="preserve"> week</w:t>
      </w:r>
      <w:proofErr w:type="gramEnd"/>
      <w:r w:rsidRPr="008911D3">
        <w:rPr>
          <w:i/>
          <w:iCs/>
        </w:rPr>
        <w:t xml:space="preserve"> reading – please read these two short blogs from the EEF:  </w:t>
      </w:r>
    </w:p>
    <w:p w:rsidR="00B1092E" w:rsidRDefault="00B1092E" w:rsidP="00B1092E">
      <w:r>
        <w:t xml:space="preserve">Eaton, J (2022) Moving from ‘differentiation’ to ‘adaptive teaching’. Available at: </w:t>
      </w:r>
      <w:hyperlink r:id="rId4">
        <w:r w:rsidRPr="160C11C2">
          <w:rPr>
            <w:rStyle w:val="Hyperlink"/>
          </w:rPr>
          <w:t>https://educationendowmentfoundation.org.uk/news/moving-from-differentiation-to-adaptive-teaching</w:t>
        </w:r>
      </w:hyperlink>
      <w:r>
        <w:t xml:space="preserve"> (accessed 01.10.23) </w:t>
      </w:r>
    </w:p>
    <w:p w:rsidR="00B1092E" w:rsidRDefault="00B1092E" w:rsidP="00B1092E">
      <w:pPr>
        <w:jc w:val="left"/>
        <w:rPr>
          <w:rFonts w:asciiTheme="majorHAnsi" w:hAnsiTheme="majorHAnsi" w:cstheme="majorBidi"/>
          <w:b/>
          <w:bCs/>
        </w:rPr>
      </w:pPr>
      <w:r w:rsidRPr="3F112839">
        <w:rPr>
          <w:rFonts w:asciiTheme="majorHAnsi" w:hAnsiTheme="majorHAnsi" w:cstheme="majorBidi"/>
        </w:rPr>
        <w:t>Aubin, G. (2022) Scaffolding – more than just a worksheet. Available at:</w:t>
      </w:r>
      <w:r w:rsidRPr="3F112839">
        <w:rPr>
          <w:rFonts w:asciiTheme="majorHAnsi" w:hAnsiTheme="majorHAnsi" w:cstheme="majorBidi"/>
          <w:b/>
          <w:bCs/>
        </w:rPr>
        <w:t xml:space="preserve"> </w:t>
      </w:r>
      <w:hyperlink r:id="rId5">
        <w:r w:rsidRPr="3F112839">
          <w:rPr>
            <w:rStyle w:val="Hyperlink"/>
            <w:rFonts w:asciiTheme="majorHAnsi" w:hAnsiTheme="majorHAnsi" w:cstheme="majorBidi"/>
            <w:b/>
            <w:bCs/>
          </w:rPr>
          <w:t>https://educationendowmentfoundation.org.uk/news/scaffolding-more-than-just-a-worksheet</w:t>
        </w:r>
      </w:hyperlink>
      <w:r>
        <w:t xml:space="preserve"> (accessed 01.10.23)</w:t>
      </w:r>
    </w:p>
    <w:p w:rsidR="00B1092E" w:rsidRPr="00381307" w:rsidRDefault="00B1092E" w:rsidP="00B1092E">
      <w:pPr>
        <w:jc w:val="left"/>
        <w:rPr>
          <w:rFonts w:asciiTheme="majorHAnsi" w:hAnsiTheme="majorHAnsi" w:cstheme="majorBidi"/>
          <w:b/>
          <w:bCs/>
        </w:rPr>
      </w:pPr>
      <w:r w:rsidRPr="00381307">
        <w:rPr>
          <w:rFonts w:asciiTheme="majorHAnsi" w:hAnsiTheme="majorHAnsi" w:cstheme="majorBidi"/>
        </w:rPr>
        <w:t>Read</w:t>
      </w:r>
      <w:r w:rsidRPr="00381307">
        <w:t xml:space="preserve"> the following </w:t>
      </w:r>
      <w:r w:rsidRPr="001F25E2">
        <w:t>highlighted extracts</w:t>
      </w:r>
      <w:r w:rsidRPr="00381307">
        <w:t xml:space="preserve"> from the readings below. </w:t>
      </w:r>
    </w:p>
    <w:p w:rsidR="00B1092E" w:rsidRPr="00381307" w:rsidRDefault="00B1092E" w:rsidP="00B1092E">
      <w:r w:rsidRPr="00381307">
        <w:t xml:space="preserve">NASEN (2024) Teacher Handbook: SEND. Available at </w:t>
      </w:r>
      <w:hyperlink r:id="rId6">
        <w:r w:rsidRPr="00381307">
          <w:rPr>
            <w:rStyle w:val="Hyperlink"/>
          </w:rPr>
          <w:t>https://nasen.org.uk/teacher-handbook</w:t>
        </w:r>
      </w:hyperlink>
      <w:r w:rsidRPr="00381307">
        <w:t xml:space="preserve"> (accessed 10.01.24). </w:t>
      </w:r>
      <w:r w:rsidRPr="001F25E2">
        <w:t xml:space="preserve">Please read page 15-25 and 32-41. This will be supported by reading the subject specific guidance. </w:t>
      </w:r>
    </w:p>
    <w:p w:rsidR="00B1092E" w:rsidRPr="001F25E2" w:rsidRDefault="00B1092E" w:rsidP="00B1092E">
      <w:r w:rsidRPr="001F25E2">
        <w:t>Puntambekar, S. (2022) Distributed Scaffolding: Scaffolding students in Classroom Environments. Educational Psychology Review, 34: 451-472.</w:t>
      </w:r>
      <w:r w:rsidRPr="00381307">
        <w:t xml:space="preserve"> </w:t>
      </w:r>
    </w:p>
    <w:p w:rsidR="00B1092E" w:rsidRPr="00F53CB8" w:rsidRDefault="00B1092E" w:rsidP="00B1092E">
      <w:pPr>
        <w:rPr>
          <w:rFonts w:asciiTheme="majorHAnsi" w:eastAsiaTheme="majorEastAsia" w:hAnsiTheme="majorHAnsi" w:cstheme="majorBidi"/>
          <w:color w:val="000000" w:themeColor="text1"/>
        </w:rPr>
      </w:pPr>
      <w:r w:rsidRPr="00381307">
        <w:rPr>
          <w:rFonts w:asciiTheme="majorHAnsi" w:eastAsiaTheme="majorEastAsia" w:hAnsiTheme="majorHAnsi" w:cstheme="majorBidi"/>
          <w:color w:val="000000" w:themeColor="text1"/>
        </w:rPr>
        <w:t xml:space="preserve">van de Pol, J., </w:t>
      </w:r>
      <w:proofErr w:type="spellStart"/>
      <w:r w:rsidRPr="00381307">
        <w:rPr>
          <w:rFonts w:asciiTheme="majorHAnsi" w:eastAsiaTheme="majorEastAsia" w:hAnsiTheme="majorHAnsi" w:cstheme="majorBidi"/>
          <w:color w:val="000000" w:themeColor="text1"/>
        </w:rPr>
        <w:t>Volman</w:t>
      </w:r>
      <w:proofErr w:type="spellEnd"/>
      <w:r w:rsidRPr="00381307">
        <w:rPr>
          <w:rFonts w:asciiTheme="majorHAnsi" w:eastAsiaTheme="majorEastAsia" w:hAnsiTheme="majorHAnsi" w:cstheme="majorBidi"/>
          <w:color w:val="000000" w:themeColor="text1"/>
        </w:rPr>
        <w:t xml:space="preserve">, M. and </w:t>
      </w:r>
      <w:proofErr w:type="spellStart"/>
      <w:r w:rsidRPr="00381307">
        <w:rPr>
          <w:rFonts w:asciiTheme="majorHAnsi" w:eastAsiaTheme="majorEastAsia" w:hAnsiTheme="majorHAnsi" w:cstheme="majorBidi"/>
          <w:color w:val="000000" w:themeColor="text1"/>
        </w:rPr>
        <w:t>Beishuizen</w:t>
      </w:r>
      <w:proofErr w:type="spellEnd"/>
      <w:r w:rsidRPr="00381307">
        <w:rPr>
          <w:rFonts w:asciiTheme="majorHAnsi" w:eastAsiaTheme="majorEastAsia" w:hAnsiTheme="majorHAnsi" w:cstheme="majorBidi"/>
          <w:color w:val="000000" w:themeColor="text1"/>
        </w:rPr>
        <w:t xml:space="preserve">, J. (2010) ‘Scaffolding in Teacher—Student Interaction: A Decade of Research’, </w:t>
      </w:r>
      <w:r w:rsidRPr="00381307">
        <w:rPr>
          <w:rFonts w:asciiTheme="majorHAnsi" w:eastAsiaTheme="majorEastAsia" w:hAnsiTheme="majorHAnsi" w:cstheme="majorBidi"/>
          <w:i/>
          <w:iCs/>
          <w:color w:val="000000" w:themeColor="text1"/>
        </w:rPr>
        <w:t>Educational Psychology Review</w:t>
      </w:r>
      <w:r w:rsidRPr="00381307">
        <w:rPr>
          <w:rFonts w:asciiTheme="majorHAnsi" w:eastAsiaTheme="majorEastAsia" w:hAnsiTheme="majorHAnsi" w:cstheme="majorBidi"/>
          <w:color w:val="000000" w:themeColor="text1"/>
        </w:rPr>
        <w:t xml:space="preserve">, 22(3), pp. 271–296. </w:t>
      </w:r>
      <w:r w:rsidRPr="001F25E2">
        <w:rPr>
          <w:rFonts w:asciiTheme="majorHAnsi" w:eastAsiaTheme="majorEastAsia" w:hAnsiTheme="majorHAnsi" w:cstheme="majorBidi"/>
          <w:color w:val="000000" w:themeColor="text1"/>
        </w:rPr>
        <w:t>Please read pages 274-276 “Characterizations of scaffolding”</w:t>
      </w:r>
      <w:r w:rsidRPr="00381307">
        <w:rPr>
          <w:rFonts w:asciiTheme="majorHAnsi" w:eastAsiaTheme="majorEastAsia" w:hAnsiTheme="majorHAnsi" w:cstheme="majorBidi"/>
          <w:color w:val="000000" w:themeColor="text1"/>
        </w:rPr>
        <w:t>.</w:t>
      </w:r>
      <w:r w:rsidRPr="3CCAFE4B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>
        <w:t xml:space="preserve"> </w:t>
      </w:r>
    </w:p>
    <w:tbl>
      <w:tblPr>
        <w:tblW w:w="10338" w:type="dxa"/>
        <w:tblLayout w:type="fixed"/>
        <w:tblLook w:val="0400" w:firstRow="0" w:lastRow="0" w:firstColumn="0" w:lastColumn="0" w:noHBand="0" w:noVBand="1"/>
      </w:tblPr>
      <w:tblGrid>
        <w:gridCol w:w="2235"/>
        <w:gridCol w:w="8103"/>
      </w:tblGrid>
      <w:tr w:rsidR="00B1092E" w:rsidTr="00B1092E">
        <w:trPr>
          <w:trHeight w:val="36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1092E" w:rsidRDefault="00B1092E" w:rsidP="001F25E2"/>
        </w:tc>
        <w:tc>
          <w:tcPr>
            <w:tcW w:w="8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B1092E" w:rsidRDefault="00B1092E" w:rsidP="001F25E2">
            <w:pPr>
              <w:jc w:val="center"/>
            </w:pPr>
            <w:r>
              <w:t xml:space="preserve"> Notes</w:t>
            </w:r>
          </w:p>
        </w:tc>
      </w:tr>
      <w:tr w:rsidR="00B1092E" w:rsidTr="00B1092E">
        <w:trPr>
          <w:trHeight w:val="795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pPr>
              <w:jc w:val="left"/>
            </w:pPr>
            <w:r w:rsidRPr="27DCADE9">
              <w:t xml:space="preserve">What are the main claims of the author(s)? </w:t>
            </w:r>
          </w:p>
        </w:tc>
        <w:tc>
          <w:tcPr>
            <w:tcW w:w="8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r w:rsidRPr="27DCADE9">
              <w:t xml:space="preserve"> </w:t>
            </w:r>
          </w:p>
          <w:p w:rsidR="00B1092E" w:rsidRDefault="00B1092E" w:rsidP="001F25E2"/>
          <w:p w:rsidR="00B1092E" w:rsidRDefault="00B1092E" w:rsidP="001F25E2"/>
          <w:p w:rsidR="00B1092E" w:rsidRDefault="00B1092E" w:rsidP="001F25E2"/>
          <w:p w:rsidR="00B1092E" w:rsidRDefault="00B1092E" w:rsidP="001F25E2"/>
        </w:tc>
      </w:tr>
      <w:tr w:rsidR="00B1092E" w:rsidTr="00B1092E">
        <w:trPr>
          <w:trHeight w:val="129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pPr>
              <w:jc w:val="left"/>
            </w:pPr>
            <w:r>
              <w:t>To what extent did you (or other sources you have read) agree with the arguments posited by the author(s)? Reasons?</w:t>
            </w:r>
          </w:p>
        </w:tc>
        <w:tc>
          <w:tcPr>
            <w:tcW w:w="8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r w:rsidRPr="27DCADE9">
              <w:t xml:space="preserve"> </w:t>
            </w:r>
          </w:p>
          <w:p w:rsidR="00B1092E" w:rsidRDefault="00B1092E" w:rsidP="001F25E2"/>
          <w:p w:rsidR="00B1092E" w:rsidRDefault="00B1092E" w:rsidP="001F25E2"/>
          <w:p w:rsidR="00B1092E" w:rsidRDefault="00B1092E" w:rsidP="001F25E2"/>
          <w:p w:rsidR="00B1092E" w:rsidRDefault="00B1092E" w:rsidP="001F25E2"/>
          <w:p w:rsidR="00B1092E" w:rsidRDefault="00B1092E" w:rsidP="001F25E2"/>
        </w:tc>
      </w:tr>
      <w:tr w:rsidR="00B1092E" w:rsidTr="00B1092E">
        <w:trPr>
          <w:trHeight w:val="1005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pPr>
              <w:jc w:val="left"/>
            </w:pPr>
            <w:r>
              <w:t>What did you (or other sources you have read) disagree with and why? Is there anything missing?</w:t>
            </w:r>
          </w:p>
        </w:tc>
        <w:tc>
          <w:tcPr>
            <w:tcW w:w="8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r w:rsidRPr="27DCADE9">
              <w:t xml:space="preserve"> </w:t>
            </w:r>
          </w:p>
          <w:p w:rsidR="00B1092E" w:rsidRDefault="00B1092E" w:rsidP="001F25E2"/>
          <w:p w:rsidR="00B1092E" w:rsidRDefault="00B1092E" w:rsidP="001F25E2"/>
          <w:p w:rsidR="00B1092E" w:rsidRDefault="00B1092E" w:rsidP="001F25E2">
            <w:bookmarkStart w:id="1" w:name="_GoBack"/>
            <w:bookmarkEnd w:id="1"/>
          </w:p>
        </w:tc>
      </w:tr>
      <w:tr w:rsidR="00B1092E" w:rsidTr="00B1092E">
        <w:trPr>
          <w:trHeight w:val="795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pPr>
              <w:jc w:val="left"/>
            </w:pPr>
            <w:r>
              <w:lastRenderedPageBreak/>
              <w:t>What have you learnt from reading these articles? - 3 key points</w:t>
            </w:r>
          </w:p>
        </w:tc>
        <w:tc>
          <w:tcPr>
            <w:tcW w:w="8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r w:rsidRPr="27DCADE9">
              <w:t xml:space="preserve"> </w:t>
            </w:r>
          </w:p>
          <w:p w:rsidR="00B1092E" w:rsidRDefault="00B1092E" w:rsidP="001F25E2"/>
          <w:p w:rsidR="00B1092E" w:rsidRDefault="00B1092E" w:rsidP="001F25E2"/>
          <w:p w:rsidR="00B1092E" w:rsidRDefault="00B1092E" w:rsidP="001F25E2"/>
          <w:p w:rsidR="00B1092E" w:rsidRDefault="00B1092E" w:rsidP="001F25E2"/>
          <w:p w:rsidR="00B1092E" w:rsidRDefault="00B1092E" w:rsidP="001F25E2"/>
        </w:tc>
      </w:tr>
      <w:tr w:rsidR="00B1092E" w:rsidTr="00B1092E">
        <w:trPr>
          <w:trHeight w:val="390"/>
        </w:trPr>
        <w:tc>
          <w:tcPr>
            <w:tcW w:w="2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pPr>
              <w:jc w:val="left"/>
            </w:pPr>
            <w:r>
              <w:t>Any unanswered questions.</w:t>
            </w:r>
          </w:p>
        </w:tc>
        <w:tc>
          <w:tcPr>
            <w:tcW w:w="8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/>
          <w:p w:rsidR="00B1092E" w:rsidRDefault="00B1092E" w:rsidP="001F25E2"/>
          <w:p w:rsidR="00B1092E" w:rsidRDefault="00B1092E" w:rsidP="001F25E2"/>
          <w:p w:rsidR="00B1092E" w:rsidRDefault="00B1092E" w:rsidP="001F25E2"/>
          <w:p w:rsidR="00B1092E" w:rsidRDefault="00B1092E" w:rsidP="001F25E2"/>
          <w:p w:rsidR="00B1092E" w:rsidRDefault="00B1092E" w:rsidP="001F25E2"/>
        </w:tc>
      </w:tr>
      <w:tr w:rsidR="00B1092E" w:rsidTr="00B1092E">
        <w:trPr>
          <w:trHeight w:val="390"/>
        </w:trPr>
        <w:tc>
          <w:tcPr>
            <w:tcW w:w="1033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r w:rsidRPr="001F25E2">
              <w:rPr>
                <w:b/>
                <w:bCs/>
              </w:rPr>
              <w:t>Critical analysis of learning – task 1</w:t>
            </w:r>
            <w:r>
              <w:t xml:space="preserve"> to be completed Monday session 4</w:t>
            </w:r>
          </w:p>
        </w:tc>
      </w:tr>
      <w:tr w:rsidR="00B1092E" w:rsidTr="00B1092E">
        <w:trPr>
          <w:trHeight w:val="390"/>
        </w:trPr>
        <w:tc>
          <w:tcPr>
            <w:tcW w:w="1033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pPr>
              <w:rPr>
                <w:lang w:val="en-US"/>
              </w:rPr>
            </w:pPr>
            <w:r w:rsidRPr="00177D9A">
              <w:rPr>
                <w:lang w:val="en-US"/>
              </w:rPr>
              <w:t xml:space="preserve">Drawing on the literature you have read about scaffolding, critically </w:t>
            </w:r>
            <w:proofErr w:type="spellStart"/>
            <w:r w:rsidRPr="00177D9A">
              <w:rPr>
                <w:lang w:val="en-US"/>
              </w:rPr>
              <w:t>analyse</w:t>
            </w:r>
            <w:proofErr w:type="spellEnd"/>
            <w:r w:rsidRPr="00177D9A">
              <w:rPr>
                <w:lang w:val="en-US"/>
              </w:rPr>
              <w:t xml:space="preserve"> strategies which can allow all pupils to access the learning</w:t>
            </w:r>
          </w:p>
          <w:p w:rsidR="00B1092E" w:rsidRDefault="00B1092E" w:rsidP="001F25E2"/>
        </w:tc>
      </w:tr>
      <w:tr w:rsidR="00B1092E" w:rsidTr="00B1092E">
        <w:trPr>
          <w:trHeight w:val="390"/>
        </w:trPr>
        <w:tc>
          <w:tcPr>
            <w:tcW w:w="1033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:rsidR="00B1092E" w:rsidRDefault="00B1092E" w:rsidP="001F25E2">
            <w:pPr>
              <w:rPr>
                <w:lang w:val="en-US"/>
              </w:rPr>
            </w:pPr>
            <w:proofErr w:type="spellStart"/>
            <w:r w:rsidRPr="00177D9A">
              <w:rPr>
                <w:lang w:val="en-US"/>
              </w:rPr>
              <w:t>Analyse</w:t>
            </w:r>
            <w:proofErr w:type="spellEnd"/>
            <w:r w:rsidRPr="00177D9A">
              <w:rPr>
                <w:lang w:val="en-US"/>
              </w:rPr>
              <w:t xml:space="preserve"> why different scaffolding strategies might be effective and any potential challenges for teaching and learning</w:t>
            </w:r>
          </w:p>
          <w:p w:rsidR="00B1092E" w:rsidRDefault="00B1092E" w:rsidP="001F25E2"/>
        </w:tc>
      </w:tr>
    </w:tbl>
    <w:p w:rsidR="00F43761" w:rsidRDefault="00B1092E"/>
    <w:sectPr w:rsidR="00F43761" w:rsidSect="00B10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2E"/>
    <w:rsid w:val="000574FD"/>
    <w:rsid w:val="000E0E6B"/>
    <w:rsid w:val="00114FB9"/>
    <w:rsid w:val="002C73BF"/>
    <w:rsid w:val="003D36A2"/>
    <w:rsid w:val="004271D1"/>
    <w:rsid w:val="004F173C"/>
    <w:rsid w:val="005451B9"/>
    <w:rsid w:val="00712F25"/>
    <w:rsid w:val="00741305"/>
    <w:rsid w:val="007B2B50"/>
    <w:rsid w:val="008A0DF9"/>
    <w:rsid w:val="009146D3"/>
    <w:rsid w:val="00970AD5"/>
    <w:rsid w:val="009A749B"/>
    <w:rsid w:val="009B22CE"/>
    <w:rsid w:val="00A24D0D"/>
    <w:rsid w:val="00B1092E"/>
    <w:rsid w:val="00B35788"/>
    <w:rsid w:val="00D47C83"/>
    <w:rsid w:val="00E10810"/>
    <w:rsid w:val="00E83455"/>
    <w:rsid w:val="00E95ACD"/>
    <w:rsid w:val="00F431D8"/>
    <w:rsid w:val="00FC4F2A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5E13"/>
  <w15:chartTrackingRefBased/>
  <w15:docId w15:val="{B832A70A-C6AA-44E8-A8DD-9131B308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92E"/>
    <w:pPr>
      <w:spacing w:after="200" w:line="276" w:lineRule="auto"/>
      <w:jc w:val="both"/>
    </w:pPr>
    <w:rPr>
      <w:rFonts w:ascii="Calibri" w:eastAsia="Calibri" w:hAnsi="Calibri" w:cs="Calibri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92E"/>
    <w:pPr>
      <w:keepNext/>
      <w:keepLines/>
      <w:spacing w:before="400" w:after="1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2E"/>
    <w:rPr>
      <w:rFonts w:ascii="Calibri" w:eastAsia="Calibri" w:hAnsi="Calibri" w:cs="Calibri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B10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en.org.uk/teacher-handbook" TargetMode="External"/><Relationship Id="rId5" Type="http://schemas.openxmlformats.org/officeDocument/2006/relationships/hyperlink" Target="https://educationendowmentfoundation.org.uk/news/scaffolding-more-than-just-a-worksheet" TargetMode="External"/><Relationship Id="rId4" Type="http://schemas.openxmlformats.org/officeDocument/2006/relationships/hyperlink" Target="https://educationendowmentfoundation.org.uk/news/moving-from-differentiation-to-adaptive-tea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Babbar (Staff)</dc:creator>
  <cp:keywords/>
  <dc:description/>
  <cp:lastModifiedBy>Sunita Babbar (Staff)</cp:lastModifiedBy>
  <cp:revision>1</cp:revision>
  <dcterms:created xsi:type="dcterms:W3CDTF">2025-01-16T17:04:00Z</dcterms:created>
  <dcterms:modified xsi:type="dcterms:W3CDTF">2025-01-16T17:07:00Z</dcterms:modified>
</cp:coreProperties>
</file>