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B3A" w:rsidRDefault="003D6B3A" w:rsidP="003D6B3A">
      <w:pPr>
        <w:pStyle w:val="Heading1"/>
      </w:pPr>
      <w:bookmarkStart w:id="0" w:name="_Toc145073198"/>
      <w:bookmarkStart w:id="1" w:name="_GoBack"/>
      <w:r w:rsidRPr="00952F35">
        <w:rPr>
          <w:b/>
        </w:rPr>
        <w:t>Appendix IV</w:t>
      </w:r>
      <w:r>
        <w:t>:  BST notes on post lesson discussion with an expert colleague</w:t>
      </w:r>
      <w:bookmarkEnd w:id="0"/>
      <w:r>
        <w:t xml:space="preserve"> – upload to </w:t>
      </w:r>
      <w:proofErr w:type="spellStart"/>
      <w:r>
        <w:t>Pebblepad</w:t>
      </w:r>
      <w:proofErr w:type="spellEnd"/>
      <w:r>
        <w:t>, includes critical analysis of learning task 2</w:t>
      </w:r>
      <w:bookmarkEnd w:id="1"/>
      <w:r>
        <w:t>.</w:t>
      </w:r>
    </w:p>
    <w:p w:rsidR="003D6B3A" w:rsidRDefault="003D6B3A" w:rsidP="003D6B3A">
      <w:r>
        <w:t xml:space="preserve">BSTs should use their own questions to discuss with the expert colleague their pedagogical choices. This should include discussion around why they selected the specific tasks, how they adapted them to meet the needs of all children etc. It should also give the expert colleague an opportunity to explain how their beliefs about how children learn influence their pedagogical choices. </w:t>
      </w:r>
    </w:p>
    <w:p w:rsidR="003D6B3A" w:rsidRDefault="003D6B3A" w:rsidP="003D6B3A">
      <w:r>
        <w:t xml:space="preserve">The discussion should begin by exploring the following: </w:t>
      </w:r>
    </w:p>
    <w:tbl>
      <w:tblPr>
        <w:tblStyle w:val="TableGrid"/>
        <w:tblW w:w="10485" w:type="dxa"/>
        <w:tblLook w:val="04A0" w:firstRow="1" w:lastRow="0" w:firstColumn="1" w:lastColumn="0" w:noHBand="0" w:noVBand="1"/>
      </w:tblPr>
      <w:tblGrid>
        <w:gridCol w:w="10485"/>
      </w:tblGrid>
      <w:tr w:rsidR="003D6B3A" w:rsidTr="003D6B3A">
        <w:tc>
          <w:tcPr>
            <w:tcW w:w="10485" w:type="dxa"/>
            <w:shd w:val="clear" w:color="auto" w:fill="D9D9D9" w:themeFill="background1" w:themeFillShade="D9"/>
          </w:tcPr>
          <w:p w:rsidR="003D6B3A" w:rsidRPr="00167F75" w:rsidRDefault="003D6B3A" w:rsidP="00FE3E62">
            <w:pPr>
              <w:rPr>
                <w:b/>
                <w:bCs/>
              </w:rPr>
            </w:pPr>
            <w:bookmarkStart w:id="2" w:name="_oym7cp1i0btk"/>
            <w:bookmarkStart w:id="3" w:name="_Toc133249455"/>
            <w:bookmarkStart w:id="4" w:name="_Toc145067874"/>
            <w:bookmarkStart w:id="5" w:name="_Toc145070282"/>
            <w:bookmarkStart w:id="6" w:name="_Toc145070357"/>
            <w:bookmarkEnd w:id="2"/>
            <w:r w:rsidRPr="00167F75">
              <w:rPr>
                <w:b/>
                <w:bCs/>
              </w:rPr>
              <w:t>Following the observations of the other teachers, what did the BST learn about “</w:t>
            </w:r>
            <w:r w:rsidRPr="00820EEE">
              <w:rPr>
                <w:b/>
                <w:bCs/>
              </w:rPr>
              <w:t>scaffolding learning to meet the needs of the learners to ensure all learners have access to a rich curriculum</w:t>
            </w:r>
            <w:r w:rsidRPr="00167F75">
              <w:rPr>
                <w:b/>
                <w:bCs/>
              </w:rPr>
              <w:t>?</w:t>
            </w:r>
            <w:bookmarkEnd w:id="3"/>
            <w:bookmarkEnd w:id="4"/>
            <w:bookmarkEnd w:id="5"/>
            <w:bookmarkEnd w:id="6"/>
            <w:r w:rsidRPr="00167F75">
              <w:rPr>
                <w:b/>
                <w:bCs/>
              </w:rPr>
              <w:t xml:space="preserve"> </w:t>
            </w:r>
          </w:p>
        </w:tc>
      </w:tr>
      <w:tr w:rsidR="003D6B3A" w:rsidTr="003D6B3A">
        <w:tc>
          <w:tcPr>
            <w:tcW w:w="10485" w:type="dxa"/>
          </w:tcPr>
          <w:p w:rsidR="003D6B3A" w:rsidRPr="00627873" w:rsidRDefault="003D6B3A" w:rsidP="00FE3E62">
            <w:pPr>
              <w:rPr>
                <w:color w:val="FF0000"/>
              </w:rPr>
            </w:pPr>
            <w:r w:rsidRPr="00627873">
              <w:t>Response:</w:t>
            </w:r>
          </w:p>
          <w:p w:rsidR="003D6B3A" w:rsidRDefault="003D6B3A" w:rsidP="00FE3E62">
            <w:pPr>
              <w:pStyle w:val="Heading2"/>
              <w:outlineLvl w:val="1"/>
              <w:rPr>
                <w:color w:val="FF0000"/>
              </w:rPr>
            </w:pPr>
          </w:p>
        </w:tc>
      </w:tr>
    </w:tbl>
    <w:p w:rsidR="003D6B3A" w:rsidRDefault="003D6B3A" w:rsidP="003D6B3A">
      <w:pPr>
        <w:spacing w:after="0"/>
      </w:pPr>
    </w:p>
    <w:p w:rsidR="003D6B3A" w:rsidRDefault="003D6B3A" w:rsidP="003D6B3A">
      <w:r>
        <w:t xml:space="preserve">Use these key questions, in addition to the questions that BSTs identified during the observation, to support the post lesson professional dialogue with the expert colleague. Responses should be recorded after each question. </w:t>
      </w:r>
    </w:p>
    <w:tbl>
      <w:tblPr>
        <w:tblStyle w:val="TableGrid"/>
        <w:tblW w:w="10485" w:type="dxa"/>
        <w:tblLook w:val="04A0" w:firstRow="1" w:lastRow="0" w:firstColumn="1" w:lastColumn="0" w:noHBand="0" w:noVBand="1"/>
      </w:tblPr>
      <w:tblGrid>
        <w:gridCol w:w="10485"/>
      </w:tblGrid>
      <w:tr w:rsidR="003D6B3A" w:rsidTr="003D6B3A">
        <w:tc>
          <w:tcPr>
            <w:tcW w:w="10485" w:type="dxa"/>
            <w:shd w:val="clear" w:color="auto" w:fill="D9D9D9" w:themeFill="background1" w:themeFillShade="D9"/>
          </w:tcPr>
          <w:p w:rsidR="003D6B3A" w:rsidRPr="00EF7F56" w:rsidRDefault="003D6B3A" w:rsidP="00FE3E62">
            <w:pPr>
              <w:rPr>
                <w:b/>
                <w:bCs/>
                <w:color w:val="FF0000"/>
              </w:rPr>
            </w:pPr>
            <w:bookmarkStart w:id="7" w:name="_Toc133249456"/>
            <w:bookmarkStart w:id="8" w:name="_Toc145067875"/>
            <w:bookmarkStart w:id="9" w:name="_1jrbuvnjkukx"/>
            <w:bookmarkEnd w:id="9"/>
            <w:r w:rsidRPr="00AC45E8">
              <w:rPr>
                <w:b/>
                <w:bCs/>
              </w:rPr>
              <w:t>How did you choose the classroom layout – is this fixed or flexible?</w:t>
            </w:r>
          </w:p>
        </w:tc>
      </w:tr>
      <w:tr w:rsidR="003D6B3A" w:rsidTr="003D6B3A">
        <w:tc>
          <w:tcPr>
            <w:tcW w:w="10485" w:type="dxa"/>
          </w:tcPr>
          <w:p w:rsidR="003D6B3A" w:rsidRPr="00627873" w:rsidRDefault="003D6B3A" w:rsidP="00FE3E62">
            <w:pPr>
              <w:rPr>
                <w:color w:val="FF0000"/>
              </w:rPr>
            </w:pPr>
            <w:bookmarkStart w:id="10" w:name="_Toc145067876"/>
            <w:bookmarkStart w:id="11" w:name="_Toc145070283"/>
            <w:bookmarkStart w:id="12" w:name="_Toc145070358"/>
            <w:r w:rsidRPr="00627873">
              <w:t>Response:</w:t>
            </w:r>
            <w:bookmarkEnd w:id="10"/>
            <w:bookmarkEnd w:id="11"/>
            <w:bookmarkEnd w:id="12"/>
          </w:p>
          <w:p w:rsidR="003D6B3A" w:rsidRDefault="003D6B3A" w:rsidP="00FE3E62">
            <w:pPr>
              <w:pStyle w:val="Heading2"/>
              <w:outlineLvl w:val="1"/>
              <w:rPr>
                <w:color w:val="FF0000"/>
              </w:rPr>
            </w:pPr>
          </w:p>
        </w:tc>
      </w:tr>
      <w:bookmarkEnd w:id="7"/>
      <w:bookmarkEnd w:id="8"/>
    </w:tbl>
    <w:p w:rsidR="003D6B3A" w:rsidRDefault="003D6B3A" w:rsidP="003D6B3A"/>
    <w:tbl>
      <w:tblPr>
        <w:tblStyle w:val="TableGrid"/>
        <w:tblW w:w="10485" w:type="dxa"/>
        <w:tblLook w:val="04A0" w:firstRow="1" w:lastRow="0" w:firstColumn="1" w:lastColumn="0" w:noHBand="0" w:noVBand="1"/>
      </w:tblPr>
      <w:tblGrid>
        <w:gridCol w:w="10485"/>
      </w:tblGrid>
      <w:tr w:rsidR="003D6B3A" w:rsidTr="003D6B3A">
        <w:tc>
          <w:tcPr>
            <w:tcW w:w="10485" w:type="dxa"/>
            <w:shd w:val="clear" w:color="auto" w:fill="D9D9D9" w:themeFill="background1" w:themeFillShade="D9"/>
          </w:tcPr>
          <w:p w:rsidR="003D6B3A" w:rsidRPr="00EF7F56" w:rsidRDefault="003D6B3A" w:rsidP="00FE3E62">
            <w:pPr>
              <w:rPr>
                <w:b/>
                <w:bCs/>
                <w:color w:val="FF0000"/>
              </w:rPr>
            </w:pPr>
            <w:r w:rsidRPr="002E1E65">
              <w:rPr>
                <w:b/>
                <w:bCs/>
              </w:rPr>
              <w:t>How do you select the seating plan for the class? How did you/do you use pupil grouping to support adaptive teaching?</w:t>
            </w:r>
          </w:p>
        </w:tc>
      </w:tr>
      <w:tr w:rsidR="003D6B3A" w:rsidTr="003D6B3A">
        <w:tc>
          <w:tcPr>
            <w:tcW w:w="10485" w:type="dxa"/>
          </w:tcPr>
          <w:p w:rsidR="003D6B3A" w:rsidRPr="00627873" w:rsidRDefault="003D6B3A" w:rsidP="00FE3E62">
            <w:pPr>
              <w:rPr>
                <w:color w:val="FF0000"/>
              </w:rPr>
            </w:pPr>
            <w:bookmarkStart w:id="13" w:name="_Toc145070284"/>
            <w:bookmarkStart w:id="14" w:name="_Toc145070359"/>
            <w:r w:rsidRPr="00627873">
              <w:t>Response:</w:t>
            </w:r>
            <w:bookmarkEnd w:id="13"/>
            <w:bookmarkEnd w:id="14"/>
          </w:p>
          <w:p w:rsidR="003D6B3A" w:rsidRDefault="003D6B3A" w:rsidP="00FE3E62">
            <w:pPr>
              <w:pStyle w:val="Heading2"/>
              <w:outlineLvl w:val="1"/>
              <w:rPr>
                <w:color w:val="FF0000"/>
              </w:rPr>
            </w:pPr>
          </w:p>
        </w:tc>
      </w:tr>
    </w:tbl>
    <w:p w:rsidR="003D6B3A" w:rsidRDefault="003D6B3A" w:rsidP="003D6B3A"/>
    <w:tbl>
      <w:tblPr>
        <w:tblStyle w:val="TableGrid"/>
        <w:tblW w:w="10485" w:type="dxa"/>
        <w:tblLook w:val="04A0" w:firstRow="1" w:lastRow="0" w:firstColumn="1" w:lastColumn="0" w:noHBand="0" w:noVBand="1"/>
      </w:tblPr>
      <w:tblGrid>
        <w:gridCol w:w="10485"/>
      </w:tblGrid>
      <w:tr w:rsidR="003D6B3A" w:rsidTr="003D6B3A">
        <w:tc>
          <w:tcPr>
            <w:tcW w:w="10485" w:type="dxa"/>
            <w:shd w:val="clear" w:color="auto" w:fill="D9D9D9" w:themeFill="background1" w:themeFillShade="D9"/>
          </w:tcPr>
          <w:p w:rsidR="003D6B3A" w:rsidRPr="00EF7F56" w:rsidRDefault="003D6B3A" w:rsidP="00FE3E62">
            <w:pPr>
              <w:rPr>
                <w:b/>
                <w:bCs/>
                <w:color w:val="FF0000"/>
              </w:rPr>
            </w:pPr>
            <w:r w:rsidRPr="00CC2720">
              <w:rPr>
                <w:b/>
                <w:bCs/>
              </w:rPr>
              <w:t>What examples of pupil grouping do you use? What do you find to be most effective?</w:t>
            </w:r>
          </w:p>
        </w:tc>
      </w:tr>
      <w:tr w:rsidR="003D6B3A" w:rsidTr="003D6B3A">
        <w:tc>
          <w:tcPr>
            <w:tcW w:w="10485" w:type="dxa"/>
          </w:tcPr>
          <w:p w:rsidR="003D6B3A" w:rsidRPr="00627873" w:rsidRDefault="003D6B3A" w:rsidP="00FE3E62">
            <w:pPr>
              <w:rPr>
                <w:color w:val="FF0000"/>
              </w:rPr>
            </w:pPr>
            <w:bookmarkStart w:id="15" w:name="_Toc145070285"/>
            <w:bookmarkStart w:id="16" w:name="_Toc145070360"/>
            <w:r w:rsidRPr="00627873">
              <w:t>Response:</w:t>
            </w:r>
            <w:bookmarkEnd w:id="15"/>
            <w:bookmarkEnd w:id="16"/>
          </w:p>
          <w:p w:rsidR="003D6B3A" w:rsidRDefault="003D6B3A" w:rsidP="00FE3E62">
            <w:pPr>
              <w:pStyle w:val="Heading2"/>
              <w:outlineLvl w:val="1"/>
              <w:rPr>
                <w:color w:val="FF0000"/>
              </w:rPr>
            </w:pPr>
          </w:p>
        </w:tc>
      </w:tr>
    </w:tbl>
    <w:p w:rsidR="003D6B3A" w:rsidRDefault="003D6B3A" w:rsidP="003D6B3A"/>
    <w:tbl>
      <w:tblPr>
        <w:tblStyle w:val="TableGrid"/>
        <w:tblW w:w="10485" w:type="dxa"/>
        <w:tblLook w:val="04A0" w:firstRow="1" w:lastRow="0" w:firstColumn="1" w:lastColumn="0" w:noHBand="0" w:noVBand="1"/>
      </w:tblPr>
      <w:tblGrid>
        <w:gridCol w:w="10485"/>
      </w:tblGrid>
      <w:tr w:rsidR="003D6B3A" w:rsidTr="003D6B3A">
        <w:tc>
          <w:tcPr>
            <w:tcW w:w="10485" w:type="dxa"/>
            <w:shd w:val="clear" w:color="auto" w:fill="D9D9D9" w:themeFill="background1" w:themeFillShade="D9"/>
          </w:tcPr>
          <w:p w:rsidR="003D6B3A" w:rsidRPr="00EF7F56" w:rsidRDefault="003D6B3A" w:rsidP="00FE3E62">
            <w:pPr>
              <w:rPr>
                <w:b/>
                <w:bCs/>
                <w:color w:val="FF0000"/>
              </w:rPr>
            </w:pPr>
            <w:r w:rsidRPr="008D4DAF">
              <w:rPr>
                <w:b/>
                <w:bCs/>
              </w:rPr>
              <w:t>During independent work how do you ensure all pupils can access the task? How do you scaffold activities?</w:t>
            </w:r>
          </w:p>
        </w:tc>
      </w:tr>
      <w:tr w:rsidR="003D6B3A" w:rsidTr="003D6B3A">
        <w:tc>
          <w:tcPr>
            <w:tcW w:w="10485" w:type="dxa"/>
          </w:tcPr>
          <w:p w:rsidR="003D6B3A" w:rsidRPr="00627873" w:rsidRDefault="003D6B3A" w:rsidP="00FE3E62">
            <w:pPr>
              <w:rPr>
                <w:color w:val="FF0000"/>
              </w:rPr>
            </w:pPr>
            <w:bookmarkStart w:id="17" w:name="_Toc145070286"/>
            <w:bookmarkStart w:id="18" w:name="_Toc145070361"/>
            <w:r w:rsidRPr="00627873">
              <w:t>Response:</w:t>
            </w:r>
            <w:bookmarkEnd w:id="17"/>
            <w:bookmarkEnd w:id="18"/>
          </w:p>
          <w:p w:rsidR="003D6B3A" w:rsidRDefault="003D6B3A" w:rsidP="00FE3E62">
            <w:pPr>
              <w:pStyle w:val="Heading2"/>
              <w:outlineLvl w:val="1"/>
              <w:rPr>
                <w:color w:val="FF0000"/>
              </w:rPr>
            </w:pPr>
          </w:p>
        </w:tc>
      </w:tr>
    </w:tbl>
    <w:p w:rsidR="003D6B3A" w:rsidRDefault="003D6B3A" w:rsidP="003D6B3A"/>
    <w:tbl>
      <w:tblPr>
        <w:tblStyle w:val="TableGrid"/>
        <w:tblW w:w="10485" w:type="dxa"/>
        <w:tblLook w:val="04A0" w:firstRow="1" w:lastRow="0" w:firstColumn="1" w:lastColumn="0" w:noHBand="0" w:noVBand="1"/>
      </w:tblPr>
      <w:tblGrid>
        <w:gridCol w:w="10485"/>
      </w:tblGrid>
      <w:tr w:rsidR="003D6B3A" w:rsidTr="003D6B3A">
        <w:tc>
          <w:tcPr>
            <w:tcW w:w="10485" w:type="dxa"/>
            <w:shd w:val="clear" w:color="auto" w:fill="D9D9D9" w:themeFill="background1" w:themeFillShade="D9"/>
          </w:tcPr>
          <w:p w:rsidR="003D6B3A" w:rsidRPr="00EF7F56" w:rsidRDefault="003D6B3A" w:rsidP="00FE3E62">
            <w:pPr>
              <w:rPr>
                <w:b/>
                <w:bCs/>
                <w:color w:val="FF0000"/>
              </w:rPr>
            </w:pPr>
            <w:r w:rsidRPr="005A1874">
              <w:rPr>
                <w:b/>
                <w:bCs/>
              </w:rPr>
              <w:lastRenderedPageBreak/>
              <w:t>How did you select the resource today for the independent learning activity? Do all teachers use the same resources</w:t>
            </w:r>
            <w:r>
              <w:rPr>
                <w:b/>
                <w:bCs/>
              </w:rPr>
              <w:t>?</w:t>
            </w:r>
          </w:p>
        </w:tc>
      </w:tr>
      <w:tr w:rsidR="003D6B3A" w:rsidTr="003D6B3A">
        <w:tc>
          <w:tcPr>
            <w:tcW w:w="10485" w:type="dxa"/>
          </w:tcPr>
          <w:p w:rsidR="003D6B3A" w:rsidRPr="00627873" w:rsidRDefault="003D6B3A" w:rsidP="00FE3E62">
            <w:pPr>
              <w:rPr>
                <w:color w:val="FF0000"/>
              </w:rPr>
            </w:pPr>
            <w:bookmarkStart w:id="19" w:name="_Toc145070287"/>
            <w:bookmarkStart w:id="20" w:name="_Toc145070362"/>
            <w:r w:rsidRPr="00627873">
              <w:t>Response:</w:t>
            </w:r>
            <w:bookmarkEnd w:id="19"/>
            <w:bookmarkEnd w:id="20"/>
          </w:p>
          <w:p w:rsidR="003D6B3A" w:rsidRDefault="003D6B3A" w:rsidP="00FE3E62">
            <w:pPr>
              <w:pStyle w:val="Heading2"/>
              <w:outlineLvl w:val="1"/>
              <w:rPr>
                <w:color w:val="FF0000"/>
              </w:rPr>
            </w:pPr>
          </w:p>
        </w:tc>
      </w:tr>
    </w:tbl>
    <w:p w:rsidR="003D6B3A" w:rsidRDefault="003D6B3A" w:rsidP="003D6B3A"/>
    <w:tbl>
      <w:tblPr>
        <w:tblStyle w:val="TableGrid"/>
        <w:tblW w:w="10485" w:type="dxa"/>
        <w:tblLook w:val="04A0" w:firstRow="1" w:lastRow="0" w:firstColumn="1" w:lastColumn="0" w:noHBand="0" w:noVBand="1"/>
      </w:tblPr>
      <w:tblGrid>
        <w:gridCol w:w="10485"/>
      </w:tblGrid>
      <w:tr w:rsidR="003D6B3A" w:rsidTr="003D6B3A">
        <w:tc>
          <w:tcPr>
            <w:tcW w:w="10485" w:type="dxa"/>
            <w:shd w:val="clear" w:color="auto" w:fill="D9D9D9" w:themeFill="background1" w:themeFillShade="D9"/>
          </w:tcPr>
          <w:p w:rsidR="003D6B3A" w:rsidRPr="00EF7F56" w:rsidRDefault="003D6B3A" w:rsidP="00FE3E62">
            <w:pPr>
              <w:rPr>
                <w:b/>
                <w:bCs/>
                <w:color w:val="FF0000"/>
              </w:rPr>
            </w:pPr>
            <w:r w:rsidRPr="00EF7F56">
              <w:rPr>
                <w:b/>
                <w:bCs/>
              </w:rPr>
              <w:t>BSTs should add their own questions</w:t>
            </w:r>
          </w:p>
        </w:tc>
      </w:tr>
      <w:tr w:rsidR="003D6B3A" w:rsidTr="003D6B3A">
        <w:tc>
          <w:tcPr>
            <w:tcW w:w="10485" w:type="dxa"/>
          </w:tcPr>
          <w:p w:rsidR="003D6B3A" w:rsidRPr="00627873" w:rsidRDefault="003D6B3A" w:rsidP="00FE3E62">
            <w:pPr>
              <w:rPr>
                <w:color w:val="FF0000"/>
              </w:rPr>
            </w:pPr>
            <w:bookmarkStart w:id="21" w:name="_Toc145070290"/>
            <w:bookmarkStart w:id="22" w:name="_Toc145070365"/>
            <w:r w:rsidRPr="00627873">
              <w:t>Response:</w:t>
            </w:r>
            <w:bookmarkEnd w:id="21"/>
            <w:bookmarkEnd w:id="22"/>
          </w:p>
          <w:p w:rsidR="003D6B3A" w:rsidRDefault="003D6B3A" w:rsidP="00FE3E62">
            <w:pPr>
              <w:pStyle w:val="Heading2"/>
              <w:outlineLvl w:val="1"/>
              <w:rPr>
                <w:color w:val="FF0000"/>
              </w:rPr>
            </w:pPr>
          </w:p>
        </w:tc>
      </w:tr>
      <w:tr w:rsidR="003D6B3A" w:rsidTr="003D6B3A">
        <w:tc>
          <w:tcPr>
            <w:tcW w:w="10485" w:type="dxa"/>
          </w:tcPr>
          <w:p w:rsidR="003D6B3A" w:rsidRPr="00EF7F56" w:rsidRDefault="003D6B3A" w:rsidP="00FE3E62">
            <w:pPr>
              <w:rPr>
                <w:b/>
                <w:bCs/>
                <w:color w:val="FF0000"/>
              </w:rPr>
            </w:pPr>
            <w:r>
              <w:rPr>
                <w:b/>
                <w:bCs/>
              </w:rPr>
              <w:t>Preparation for Thursday’s lesson – meet with the class teacher to discuss and agree the following:</w:t>
            </w:r>
          </w:p>
        </w:tc>
      </w:tr>
      <w:tr w:rsidR="003D6B3A" w:rsidTr="003D6B3A">
        <w:tc>
          <w:tcPr>
            <w:tcW w:w="10485" w:type="dxa"/>
          </w:tcPr>
          <w:p w:rsidR="003D6B3A" w:rsidRPr="00952F35" w:rsidRDefault="003D6B3A" w:rsidP="00FE3E62">
            <w:r w:rsidRPr="00952F35">
              <w:rPr>
                <w:lang w:val="en-US"/>
              </w:rPr>
              <w:t xml:space="preserve">When the activity will be taught and for how long </w:t>
            </w:r>
          </w:p>
          <w:p w:rsidR="003D6B3A" w:rsidRPr="00952F35" w:rsidRDefault="003D6B3A" w:rsidP="00FE3E62">
            <w:pPr>
              <w:ind w:left="720"/>
            </w:pPr>
          </w:p>
        </w:tc>
      </w:tr>
      <w:tr w:rsidR="003D6B3A" w:rsidTr="003D6B3A">
        <w:tc>
          <w:tcPr>
            <w:tcW w:w="10485" w:type="dxa"/>
          </w:tcPr>
          <w:p w:rsidR="003D6B3A" w:rsidRPr="00952F35" w:rsidRDefault="003D6B3A" w:rsidP="00FE3E62">
            <w:r w:rsidRPr="00952F35">
              <w:rPr>
                <w:lang w:val="en-US"/>
              </w:rPr>
              <w:t>The 'knowledge' to retrieve</w:t>
            </w:r>
          </w:p>
          <w:p w:rsidR="003D6B3A" w:rsidRPr="00952F35" w:rsidRDefault="003D6B3A" w:rsidP="00FE3E62">
            <w:pPr>
              <w:rPr>
                <w:lang w:val="en-US"/>
              </w:rPr>
            </w:pPr>
          </w:p>
        </w:tc>
      </w:tr>
      <w:tr w:rsidR="003D6B3A" w:rsidTr="003D6B3A">
        <w:tc>
          <w:tcPr>
            <w:tcW w:w="10485" w:type="dxa"/>
          </w:tcPr>
          <w:p w:rsidR="003D6B3A" w:rsidRPr="00952F35" w:rsidRDefault="003D6B3A" w:rsidP="00FE3E62">
            <w:r w:rsidRPr="00952F35">
              <w:rPr>
                <w:lang w:val="en-US"/>
              </w:rPr>
              <w:t>How this connects to children's prior knowledge as well as their new learning</w:t>
            </w:r>
          </w:p>
          <w:p w:rsidR="003D6B3A" w:rsidRPr="00952F35" w:rsidRDefault="003D6B3A" w:rsidP="00FE3E62">
            <w:pPr>
              <w:rPr>
                <w:lang w:val="en-US"/>
              </w:rPr>
            </w:pPr>
          </w:p>
        </w:tc>
      </w:tr>
      <w:tr w:rsidR="003D6B3A" w:rsidTr="003D6B3A">
        <w:tc>
          <w:tcPr>
            <w:tcW w:w="10485" w:type="dxa"/>
          </w:tcPr>
          <w:p w:rsidR="003D6B3A" w:rsidRPr="00952F35" w:rsidRDefault="003D6B3A" w:rsidP="00FE3E62">
            <w:r w:rsidRPr="00952F35">
              <w:rPr>
                <w:lang w:val="en-US"/>
              </w:rPr>
              <w:t>Key subject knowledge underpinning the activity</w:t>
            </w:r>
          </w:p>
          <w:p w:rsidR="003D6B3A" w:rsidRPr="00952F35" w:rsidRDefault="003D6B3A" w:rsidP="00FE3E62">
            <w:pPr>
              <w:rPr>
                <w:lang w:val="en-US"/>
              </w:rPr>
            </w:pPr>
          </w:p>
        </w:tc>
      </w:tr>
      <w:tr w:rsidR="003D6B3A" w:rsidTr="003D6B3A">
        <w:tc>
          <w:tcPr>
            <w:tcW w:w="10485" w:type="dxa"/>
          </w:tcPr>
          <w:p w:rsidR="003D6B3A" w:rsidRPr="00952F35" w:rsidRDefault="003D6B3A" w:rsidP="00FE3E62">
            <w:r w:rsidRPr="00952F35">
              <w:rPr>
                <w:lang w:val="en-US"/>
              </w:rPr>
              <w:t>Adaptations to meet individual learning needs</w:t>
            </w:r>
          </w:p>
          <w:p w:rsidR="003D6B3A" w:rsidRPr="00952F35" w:rsidRDefault="003D6B3A" w:rsidP="00FE3E62">
            <w:pPr>
              <w:rPr>
                <w:lang w:val="en-US"/>
              </w:rPr>
            </w:pPr>
          </w:p>
        </w:tc>
      </w:tr>
      <w:tr w:rsidR="003D6B3A" w:rsidTr="003D6B3A">
        <w:tc>
          <w:tcPr>
            <w:tcW w:w="10485" w:type="dxa"/>
          </w:tcPr>
          <w:p w:rsidR="003D6B3A" w:rsidRPr="009B37E3" w:rsidRDefault="003D6B3A" w:rsidP="00FE3E62">
            <w:pPr>
              <w:rPr>
                <w:b/>
                <w:bCs/>
                <w:color w:val="FF0000"/>
              </w:rPr>
            </w:pPr>
            <w:r w:rsidRPr="00952F35">
              <w:rPr>
                <w:b/>
              </w:rPr>
              <w:t>Critical analysis of learning – task 2 to be completed Tuesday session 5</w:t>
            </w:r>
          </w:p>
        </w:tc>
      </w:tr>
      <w:tr w:rsidR="003D6B3A" w:rsidTr="003D6B3A">
        <w:tc>
          <w:tcPr>
            <w:tcW w:w="10485" w:type="dxa"/>
          </w:tcPr>
          <w:p w:rsidR="003D6B3A" w:rsidRPr="00952F35" w:rsidRDefault="003D6B3A" w:rsidP="00FE3E62">
            <w:r w:rsidRPr="00952F35">
              <w:rPr>
                <w:bCs/>
                <w:lang w:val="en-US"/>
              </w:rPr>
              <w:t xml:space="preserve">Critically </w:t>
            </w:r>
            <w:proofErr w:type="spellStart"/>
            <w:r w:rsidRPr="00952F35">
              <w:rPr>
                <w:bCs/>
                <w:lang w:val="en-US"/>
              </w:rPr>
              <w:t>analyse</w:t>
            </w:r>
            <w:proofErr w:type="spellEnd"/>
            <w:r w:rsidRPr="00952F35">
              <w:rPr>
                <w:bCs/>
                <w:lang w:val="en-US"/>
              </w:rPr>
              <w:t xml:space="preserve"> and reflect on the teaching you have observed today in light of your reading: </w:t>
            </w:r>
          </w:p>
          <w:p w:rsidR="003D6B3A" w:rsidRPr="00952F35" w:rsidRDefault="003D6B3A" w:rsidP="003D6B3A">
            <w:pPr>
              <w:numPr>
                <w:ilvl w:val="0"/>
                <w:numId w:val="1"/>
              </w:numPr>
              <w:tabs>
                <w:tab w:val="num" w:pos="720"/>
              </w:tabs>
              <w:spacing w:after="0" w:line="240" w:lineRule="auto"/>
            </w:pPr>
            <w:r w:rsidRPr="00952F35">
              <w:rPr>
                <w:lang w:val="en-US"/>
              </w:rPr>
              <w:t>How did the scaffolding practices, you observed relate to the literature you engaged with? </w:t>
            </w:r>
          </w:p>
          <w:p w:rsidR="003D6B3A" w:rsidRPr="00952F35" w:rsidRDefault="003D6B3A" w:rsidP="003D6B3A">
            <w:pPr>
              <w:numPr>
                <w:ilvl w:val="0"/>
                <w:numId w:val="1"/>
              </w:numPr>
              <w:tabs>
                <w:tab w:val="num" w:pos="720"/>
              </w:tabs>
              <w:spacing w:after="0" w:line="240" w:lineRule="auto"/>
            </w:pPr>
            <w:r w:rsidRPr="00952F35">
              <w:rPr>
                <w:lang w:val="en-US"/>
              </w:rPr>
              <w:t>Were there any tensions between theory and practice?  </w:t>
            </w:r>
          </w:p>
          <w:p w:rsidR="003D6B3A" w:rsidRPr="00952F35" w:rsidRDefault="003D6B3A" w:rsidP="003D6B3A">
            <w:pPr>
              <w:numPr>
                <w:ilvl w:val="0"/>
                <w:numId w:val="1"/>
              </w:numPr>
              <w:tabs>
                <w:tab w:val="num" w:pos="720"/>
              </w:tabs>
              <w:spacing w:after="0" w:line="240" w:lineRule="auto"/>
            </w:pPr>
            <w:r w:rsidRPr="00952F35">
              <w:rPr>
                <w:lang w:val="en-US"/>
              </w:rPr>
              <w:t>Did the lesson/s you observed and the professional dialogue you had with expert colleagues raise any questions about the theory? </w:t>
            </w:r>
          </w:p>
          <w:p w:rsidR="003D6B3A" w:rsidRPr="00627873" w:rsidRDefault="003D6B3A" w:rsidP="00FE3E62">
            <w:pPr>
              <w:rPr>
                <w:color w:val="FF0000"/>
              </w:rPr>
            </w:pPr>
          </w:p>
          <w:p w:rsidR="003D6B3A" w:rsidRDefault="003D6B3A" w:rsidP="00FE3E62">
            <w:pPr>
              <w:pStyle w:val="Heading2"/>
              <w:outlineLvl w:val="1"/>
              <w:rPr>
                <w:color w:val="FF0000"/>
              </w:rPr>
            </w:pPr>
          </w:p>
        </w:tc>
      </w:tr>
    </w:tbl>
    <w:p w:rsidR="00F43761" w:rsidRDefault="003D6B3A"/>
    <w:sectPr w:rsidR="00F43761" w:rsidSect="003D6B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2B55A3"/>
    <w:multiLevelType w:val="hybridMultilevel"/>
    <w:tmpl w:val="516646CC"/>
    <w:lvl w:ilvl="0" w:tplc="96F0E028">
      <w:start w:val="1"/>
      <w:numFmt w:val="bullet"/>
      <w:lvlText w:val="•"/>
      <w:lvlJc w:val="left"/>
      <w:pPr>
        <w:tabs>
          <w:tab w:val="num" w:pos="360"/>
        </w:tabs>
        <w:ind w:left="360" w:hanging="360"/>
      </w:pPr>
      <w:rPr>
        <w:rFonts w:ascii="Arial" w:hAnsi="Arial" w:hint="default"/>
      </w:rPr>
    </w:lvl>
    <w:lvl w:ilvl="1" w:tplc="1AEC41CC" w:tentative="1">
      <w:start w:val="1"/>
      <w:numFmt w:val="bullet"/>
      <w:lvlText w:val="•"/>
      <w:lvlJc w:val="left"/>
      <w:pPr>
        <w:tabs>
          <w:tab w:val="num" w:pos="1080"/>
        </w:tabs>
        <w:ind w:left="1080" w:hanging="360"/>
      </w:pPr>
      <w:rPr>
        <w:rFonts w:ascii="Arial" w:hAnsi="Arial" w:hint="default"/>
      </w:rPr>
    </w:lvl>
    <w:lvl w:ilvl="2" w:tplc="9F364DA2" w:tentative="1">
      <w:start w:val="1"/>
      <w:numFmt w:val="bullet"/>
      <w:lvlText w:val="•"/>
      <w:lvlJc w:val="left"/>
      <w:pPr>
        <w:tabs>
          <w:tab w:val="num" w:pos="1800"/>
        </w:tabs>
        <w:ind w:left="1800" w:hanging="360"/>
      </w:pPr>
      <w:rPr>
        <w:rFonts w:ascii="Arial" w:hAnsi="Arial" w:hint="default"/>
      </w:rPr>
    </w:lvl>
    <w:lvl w:ilvl="3" w:tplc="A2506F50" w:tentative="1">
      <w:start w:val="1"/>
      <w:numFmt w:val="bullet"/>
      <w:lvlText w:val="•"/>
      <w:lvlJc w:val="left"/>
      <w:pPr>
        <w:tabs>
          <w:tab w:val="num" w:pos="2520"/>
        </w:tabs>
        <w:ind w:left="2520" w:hanging="360"/>
      </w:pPr>
      <w:rPr>
        <w:rFonts w:ascii="Arial" w:hAnsi="Arial" w:hint="default"/>
      </w:rPr>
    </w:lvl>
    <w:lvl w:ilvl="4" w:tplc="D8E677EE" w:tentative="1">
      <w:start w:val="1"/>
      <w:numFmt w:val="bullet"/>
      <w:lvlText w:val="•"/>
      <w:lvlJc w:val="left"/>
      <w:pPr>
        <w:tabs>
          <w:tab w:val="num" w:pos="3240"/>
        </w:tabs>
        <w:ind w:left="3240" w:hanging="360"/>
      </w:pPr>
      <w:rPr>
        <w:rFonts w:ascii="Arial" w:hAnsi="Arial" w:hint="default"/>
      </w:rPr>
    </w:lvl>
    <w:lvl w:ilvl="5" w:tplc="6FB036D4" w:tentative="1">
      <w:start w:val="1"/>
      <w:numFmt w:val="bullet"/>
      <w:lvlText w:val="•"/>
      <w:lvlJc w:val="left"/>
      <w:pPr>
        <w:tabs>
          <w:tab w:val="num" w:pos="3960"/>
        </w:tabs>
        <w:ind w:left="3960" w:hanging="360"/>
      </w:pPr>
      <w:rPr>
        <w:rFonts w:ascii="Arial" w:hAnsi="Arial" w:hint="default"/>
      </w:rPr>
    </w:lvl>
    <w:lvl w:ilvl="6" w:tplc="C6C8A11A" w:tentative="1">
      <w:start w:val="1"/>
      <w:numFmt w:val="bullet"/>
      <w:lvlText w:val="•"/>
      <w:lvlJc w:val="left"/>
      <w:pPr>
        <w:tabs>
          <w:tab w:val="num" w:pos="4680"/>
        </w:tabs>
        <w:ind w:left="4680" w:hanging="360"/>
      </w:pPr>
      <w:rPr>
        <w:rFonts w:ascii="Arial" w:hAnsi="Arial" w:hint="default"/>
      </w:rPr>
    </w:lvl>
    <w:lvl w:ilvl="7" w:tplc="F410CB6A" w:tentative="1">
      <w:start w:val="1"/>
      <w:numFmt w:val="bullet"/>
      <w:lvlText w:val="•"/>
      <w:lvlJc w:val="left"/>
      <w:pPr>
        <w:tabs>
          <w:tab w:val="num" w:pos="5400"/>
        </w:tabs>
        <w:ind w:left="5400" w:hanging="360"/>
      </w:pPr>
      <w:rPr>
        <w:rFonts w:ascii="Arial" w:hAnsi="Arial" w:hint="default"/>
      </w:rPr>
    </w:lvl>
    <w:lvl w:ilvl="8" w:tplc="1DD86D02" w:tentative="1">
      <w:start w:val="1"/>
      <w:numFmt w:val="bullet"/>
      <w:lvlText w:val="•"/>
      <w:lvlJc w:val="left"/>
      <w:pPr>
        <w:tabs>
          <w:tab w:val="num" w:pos="6120"/>
        </w:tabs>
        <w:ind w:left="612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3A"/>
    <w:rsid w:val="000574FD"/>
    <w:rsid w:val="000E0E6B"/>
    <w:rsid w:val="00114FB9"/>
    <w:rsid w:val="002C73BF"/>
    <w:rsid w:val="003D36A2"/>
    <w:rsid w:val="003D6B3A"/>
    <w:rsid w:val="004271D1"/>
    <w:rsid w:val="004F173C"/>
    <w:rsid w:val="005451B9"/>
    <w:rsid w:val="00712F25"/>
    <w:rsid w:val="00741305"/>
    <w:rsid w:val="007B2B50"/>
    <w:rsid w:val="008A0DF9"/>
    <w:rsid w:val="009146D3"/>
    <w:rsid w:val="00970AD5"/>
    <w:rsid w:val="009A749B"/>
    <w:rsid w:val="009B22CE"/>
    <w:rsid w:val="00A24D0D"/>
    <w:rsid w:val="00B35788"/>
    <w:rsid w:val="00D47C83"/>
    <w:rsid w:val="00E10810"/>
    <w:rsid w:val="00E83455"/>
    <w:rsid w:val="00E95ACD"/>
    <w:rsid w:val="00F431D8"/>
    <w:rsid w:val="00FC4F2A"/>
    <w:rsid w:val="00FC6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FE69E1-2C38-4E04-94E6-4CA74042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B3A"/>
    <w:pPr>
      <w:spacing w:after="200" w:line="276" w:lineRule="auto"/>
      <w:jc w:val="both"/>
    </w:pPr>
    <w:rPr>
      <w:rFonts w:ascii="Calibri" w:eastAsia="Calibri" w:hAnsi="Calibri" w:cs="Calibri"/>
      <w:lang w:eastAsia="ja-JP"/>
    </w:rPr>
  </w:style>
  <w:style w:type="paragraph" w:styleId="Heading1">
    <w:name w:val="heading 1"/>
    <w:basedOn w:val="Normal"/>
    <w:next w:val="Normal"/>
    <w:link w:val="Heading1Char"/>
    <w:uiPriority w:val="9"/>
    <w:qFormat/>
    <w:rsid w:val="003D6B3A"/>
    <w:pPr>
      <w:keepNext/>
      <w:keepLines/>
      <w:spacing w:before="400" w:after="120"/>
      <w:outlineLvl w:val="0"/>
    </w:pPr>
    <w:rPr>
      <w:sz w:val="28"/>
      <w:szCs w:val="28"/>
    </w:rPr>
  </w:style>
  <w:style w:type="paragraph" w:styleId="Heading2">
    <w:name w:val="heading 2"/>
    <w:basedOn w:val="Normal"/>
    <w:next w:val="Normal"/>
    <w:link w:val="Heading2Char"/>
    <w:uiPriority w:val="9"/>
    <w:unhideWhenUsed/>
    <w:qFormat/>
    <w:rsid w:val="003D6B3A"/>
    <w:pPr>
      <w:keepNext/>
      <w:keepLines/>
      <w:spacing w:before="20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B3A"/>
    <w:rPr>
      <w:rFonts w:ascii="Calibri" w:eastAsia="Calibri" w:hAnsi="Calibri" w:cs="Calibri"/>
      <w:sz w:val="28"/>
      <w:szCs w:val="28"/>
      <w:lang w:eastAsia="ja-JP"/>
    </w:rPr>
  </w:style>
  <w:style w:type="character" w:customStyle="1" w:styleId="Heading2Char">
    <w:name w:val="Heading 2 Char"/>
    <w:basedOn w:val="DefaultParagraphFont"/>
    <w:link w:val="Heading2"/>
    <w:uiPriority w:val="9"/>
    <w:rsid w:val="003D6B3A"/>
    <w:rPr>
      <w:rFonts w:ascii="Calibri" w:eastAsia="Calibri" w:hAnsi="Calibri" w:cs="Calibri"/>
      <w:u w:val="single"/>
      <w:lang w:eastAsia="ja-JP"/>
    </w:rPr>
  </w:style>
  <w:style w:type="table" w:styleId="TableGrid">
    <w:name w:val="Table Grid"/>
    <w:basedOn w:val="TableNormal"/>
    <w:uiPriority w:val="59"/>
    <w:rsid w:val="003D6B3A"/>
    <w:pPr>
      <w:spacing w:after="0" w:line="240" w:lineRule="auto"/>
      <w:jc w:val="both"/>
    </w:pPr>
    <w:rPr>
      <w:rFonts w:ascii="Calibri" w:eastAsia="Calibri" w:hAnsi="Calibri" w:cs="Calibri"/>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Brunel University London</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Sunita Babbar (Staff)</dc:creator>
  <cp:keywords/>
  <dc:description/>
  <cp:lastModifiedBy>Sunita Babbar (Staff)</cp:lastModifiedBy>
  <cp:revision>1</cp:revision>
  <dcterms:created xsi:type="dcterms:W3CDTF">2025-01-20T16:36:00Z</dcterms:created>
  <dcterms:modified xsi:type="dcterms:W3CDTF">2025-01-20T16:38:00Z</dcterms:modified>
</cp:coreProperties>
</file>