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8773"/>
      </w:tblGrid>
      <w:tr w:rsidR="00603025" w14:paraId="6BA2D617" w14:textId="77777777">
        <w:tc>
          <w:tcPr>
            <w:tcW w:w="630" w:type="dxa"/>
            <w:tcBorders>
              <w:top w:val="single" w:sz="1" w:space="0" w:color="000000"/>
              <w:left w:val="single" w:sz="1" w:space="0" w:color="000000"/>
              <w:bottom w:val="single" w:sz="1" w:space="0" w:color="000000"/>
              <w:right w:val="single" w:sz="1" w:space="0" w:color="000000"/>
            </w:tcBorders>
          </w:tcPr>
          <w:p w14:paraId="7DA35A77" w14:textId="77777777" w:rsidR="00603025" w:rsidRDefault="00000000">
            <w:r>
              <w:rPr>
                <w:b/>
                <w:bCs/>
              </w:rPr>
              <w:t>1 (a)</w:t>
            </w:r>
          </w:p>
        </w:tc>
        <w:tc>
          <w:tcPr>
            <w:tcW w:w="9810" w:type="dxa"/>
            <w:tcBorders>
              <w:top w:val="single" w:sz="1" w:space="0" w:color="000000"/>
              <w:left w:val="single" w:sz="1" w:space="0" w:color="000000"/>
              <w:bottom w:val="single" w:sz="1" w:space="0" w:color="000000"/>
              <w:right w:val="single" w:sz="1" w:space="0" w:color="000000"/>
            </w:tcBorders>
          </w:tcPr>
          <w:p w14:paraId="7ED27A18" w14:textId="4EF9CA85" w:rsidR="00603025" w:rsidRDefault="00000000">
            <w:r>
              <w:rPr>
                <w:b/>
                <w:bCs/>
              </w:rPr>
              <w:t xml:space="preserve">Title: </w:t>
            </w:r>
            <w:r w:rsidR="00505A2A" w:rsidRPr="00505A2A">
              <w:t>Dr</w:t>
            </w:r>
            <w:r w:rsidR="00505A2A">
              <w:rPr>
                <w:b/>
                <w:bCs/>
              </w:rPr>
              <w:t xml:space="preserve">  </w:t>
            </w:r>
            <w:r>
              <w:t xml:space="preserve">  | Surname: </w:t>
            </w:r>
            <w:r w:rsidR="00505A2A">
              <w:t>Neykova</w:t>
            </w:r>
            <w:r>
              <w:t xml:space="preserve"> </w:t>
            </w:r>
            <w:proofErr w:type="gramStart"/>
            <w:r>
              <w:t>|  First</w:t>
            </w:r>
            <w:proofErr w:type="gramEnd"/>
            <w:r>
              <w:t xml:space="preserve"> name and middle initials: </w:t>
            </w:r>
            <w:r w:rsidR="00505A2A">
              <w:t>Rumyana</w:t>
            </w:r>
          </w:p>
        </w:tc>
      </w:tr>
      <w:tr w:rsidR="00603025" w14:paraId="41D2639A" w14:textId="77777777">
        <w:tc>
          <w:tcPr>
            <w:tcW w:w="630" w:type="dxa"/>
            <w:tcBorders>
              <w:top w:val="single" w:sz="1" w:space="0" w:color="000000"/>
              <w:left w:val="single" w:sz="1" w:space="0" w:color="000000"/>
              <w:bottom w:val="single" w:sz="1" w:space="0" w:color="000000"/>
              <w:right w:val="single" w:sz="1" w:space="0" w:color="000000"/>
            </w:tcBorders>
          </w:tcPr>
          <w:p w14:paraId="60FC156F" w14:textId="77777777" w:rsidR="00603025" w:rsidRDefault="00000000">
            <w:r>
              <w:rPr>
                <w:b/>
                <w:bCs/>
              </w:rPr>
              <w:t>(b)</w:t>
            </w:r>
          </w:p>
        </w:tc>
        <w:tc>
          <w:tcPr>
            <w:tcW w:w="9810" w:type="dxa"/>
            <w:tcBorders>
              <w:top w:val="single" w:sz="1" w:space="0" w:color="000000"/>
              <w:left w:val="single" w:sz="1" w:space="0" w:color="000000"/>
              <w:bottom w:val="single" w:sz="1" w:space="0" w:color="000000"/>
              <w:right w:val="single" w:sz="1" w:space="0" w:color="000000"/>
            </w:tcBorders>
          </w:tcPr>
          <w:p w14:paraId="41CF1E83" w14:textId="77777777" w:rsidR="00603025" w:rsidRDefault="00000000">
            <w:r>
              <w:rPr>
                <w:b/>
                <w:bCs/>
              </w:rPr>
              <w:t xml:space="preserve">Department name: </w:t>
            </w:r>
            <w:r>
              <w:t>Brunel Software Engineering Lab (BSEL), Department of Computer Science</w:t>
            </w:r>
          </w:p>
        </w:tc>
      </w:tr>
      <w:tr w:rsidR="00603025" w14:paraId="50B628A1" w14:textId="77777777">
        <w:tc>
          <w:tcPr>
            <w:tcW w:w="630" w:type="dxa"/>
            <w:tcBorders>
              <w:top w:val="single" w:sz="1" w:space="0" w:color="000000"/>
              <w:left w:val="single" w:sz="1" w:space="0" w:color="000000"/>
              <w:bottom w:val="single" w:sz="1" w:space="0" w:color="000000"/>
              <w:right w:val="single" w:sz="1" w:space="0" w:color="000000"/>
            </w:tcBorders>
          </w:tcPr>
          <w:p w14:paraId="3F43E6E2" w14:textId="77777777" w:rsidR="00603025" w:rsidRDefault="00000000">
            <w:r>
              <w:rPr>
                <w:b/>
                <w:bCs/>
              </w:rPr>
              <w:t>(c)</w:t>
            </w:r>
          </w:p>
        </w:tc>
        <w:tc>
          <w:tcPr>
            <w:tcW w:w="9810" w:type="dxa"/>
            <w:tcBorders>
              <w:top w:val="single" w:sz="1" w:space="0" w:color="000000"/>
              <w:left w:val="single" w:sz="1" w:space="0" w:color="000000"/>
              <w:bottom w:val="single" w:sz="1" w:space="0" w:color="000000"/>
              <w:right w:val="single" w:sz="1" w:space="0" w:color="000000"/>
            </w:tcBorders>
          </w:tcPr>
          <w:p w14:paraId="2AFD4112" w14:textId="77777777" w:rsidR="00603025" w:rsidRDefault="00000000">
            <w:r>
              <w:rPr>
                <w:b/>
                <w:bCs/>
              </w:rPr>
              <w:t xml:space="preserve">Have you supervised Vacation Internships before? </w:t>
            </w:r>
            <w:r>
              <w:t>Yes</w:t>
            </w:r>
          </w:p>
        </w:tc>
      </w:tr>
    </w:tbl>
    <w:p w14:paraId="77418133" w14:textId="77777777" w:rsidR="00603025" w:rsidRDefault="00603025">
      <w:pPr>
        <w:spacing w:after="200"/>
      </w:pPr>
    </w:p>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4"/>
        <w:gridCol w:w="8776"/>
      </w:tblGrid>
      <w:tr w:rsidR="00603025" w14:paraId="020C9413" w14:textId="77777777">
        <w:tc>
          <w:tcPr>
            <w:tcW w:w="630" w:type="dxa"/>
            <w:tcBorders>
              <w:top w:val="single" w:sz="1" w:space="0" w:color="000000"/>
              <w:left w:val="single" w:sz="1" w:space="0" w:color="000000"/>
              <w:bottom w:val="single" w:sz="1" w:space="0" w:color="000000"/>
              <w:right w:val="single" w:sz="1" w:space="0" w:color="000000"/>
            </w:tcBorders>
          </w:tcPr>
          <w:p w14:paraId="27068421" w14:textId="77777777" w:rsidR="00603025" w:rsidRDefault="00000000">
            <w:r>
              <w:rPr>
                <w:b/>
                <w:bCs/>
              </w:rPr>
              <w:t>2 (a)</w:t>
            </w:r>
          </w:p>
        </w:tc>
        <w:tc>
          <w:tcPr>
            <w:tcW w:w="9810" w:type="dxa"/>
            <w:tcBorders>
              <w:top w:val="single" w:sz="1" w:space="0" w:color="000000"/>
              <w:left w:val="single" w:sz="1" w:space="0" w:color="000000"/>
              <w:bottom w:val="single" w:sz="1" w:space="0" w:color="000000"/>
              <w:right w:val="single" w:sz="1" w:space="0" w:color="000000"/>
            </w:tcBorders>
          </w:tcPr>
          <w:p w14:paraId="4007B08B" w14:textId="77777777" w:rsidR="00603025" w:rsidRDefault="00000000">
            <w:r>
              <w:t>Title of project: (no more than 220 characters)</w:t>
            </w:r>
          </w:p>
        </w:tc>
      </w:tr>
      <w:tr w:rsidR="00603025" w14:paraId="012AAE82" w14:textId="77777777">
        <w:tc>
          <w:tcPr>
            <w:tcW w:w="630" w:type="dxa"/>
            <w:tcBorders>
              <w:top w:val="single" w:sz="1" w:space="0" w:color="000000"/>
              <w:left w:val="single" w:sz="1" w:space="0" w:color="000000"/>
              <w:bottom w:val="single" w:sz="1" w:space="0" w:color="000000"/>
              <w:right w:val="single" w:sz="1" w:space="0" w:color="000000"/>
            </w:tcBorders>
          </w:tcPr>
          <w:p w14:paraId="37994CA2" w14:textId="77777777" w:rsidR="00603025" w:rsidRDefault="00603025"/>
        </w:tc>
        <w:tc>
          <w:tcPr>
            <w:tcW w:w="9810" w:type="dxa"/>
            <w:tcBorders>
              <w:top w:val="single" w:sz="1" w:space="0" w:color="000000"/>
              <w:left w:val="single" w:sz="1" w:space="0" w:color="000000"/>
              <w:bottom w:val="single" w:sz="1" w:space="0" w:color="000000"/>
              <w:right w:val="single" w:sz="1" w:space="0" w:color="000000"/>
            </w:tcBorders>
          </w:tcPr>
          <w:p w14:paraId="0F1DB162" w14:textId="61EC5119" w:rsidR="00603025" w:rsidRDefault="00000000">
            <w:r>
              <w:rPr>
                <w:b/>
                <w:bCs/>
              </w:rPr>
              <w:t>Intermediate Representations for LLM-Driven Code Modernisation: Comparative Evaluation and Benchmarking Dataset</w:t>
            </w:r>
          </w:p>
        </w:tc>
      </w:tr>
      <w:tr w:rsidR="00603025" w14:paraId="00CBC333" w14:textId="77777777">
        <w:tc>
          <w:tcPr>
            <w:tcW w:w="630" w:type="dxa"/>
            <w:tcBorders>
              <w:top w:val="single" w:sz="1" w:space="0" w:color="000000"/>
              <w:left w:val="single" w:sz="1" w:space="0" w:color="000000"/>
              <w:bottom w:val="single" w:sz="1" w:space="0" w:color="000000"/>
              <w:right w:val="single" w:sz="1" w:space="0" w:color="000000"/>
            </w:tcBorders>
          </w:tcPr>
          <w:p w14:paraId="5D7563A7" w14:textId="77777777" w:rsidR="00603025" w:rsidRDefault="00000000">
            <w:r>
              <w:rPr>
                <w:b/>
                <w:bCs/>
              </w:rPr>
              <w:t>(b)</w:t>
            </w:r>
          </w:p>
        </w:tc>
        <w:tc>
          <w:tcPr>
            <w:tcW w:w="9810" w:type="dxa"/>
            <w:tcBorders>
              <w:top w:val="single" w:sz="1" w:space="0" w:color="000000"/>
              <w:left w:val="single" w:sz="1" w:space="0" w:color="000000"/>
              <w:bottom w:val="single" w:sz="1" w:space="0" w:color="000000"/>
              <w:right w:val="single" w:sz="1" w:space="0" w:color="000000"/>
            </w:tcBorders>
          </w:tcPr>
          <w:p w14:paraId="7B7CE0DF" w14:textId="77777777" w:rsidR="00603025" w:rsidRDefault="00000000">
            <w:r>
              <w:t>Description of the proposed project (no more than 700 words)</w:t>
            </w:r>
          </w:p>
        </w:tc>
      </w:tr>
      <w:tr w:rsidR="00603025" w14:paraId="0500C727" w14:textId="77777777">
        <w:tc>
          <w:tcPr>
            <w:tcW w:w="630" w:type="dxa"/>
            <w:tcBorders>
              <w:top w:val="single" w:sz="1" w:space="0" w:color="000000"/>
              <w:left w:val="single" w:sz="1" w:space="0" w:color="000000"/>
              <w:bottom w:val="single" w:sz="1" w:space="0" w:color="000000"/>
              <w:right w:val="single" w:sz="1" w:space="0" w:color="000000"/>
            </w:tcBorders>
          </w:tcPr>
          <w:p w14:paraId="240C3C7E" w14:textId="77777777" w:rsidR="00603025" w:rsidRDefault="00603025"/>
        </w:tc>
        <w:tc>
          <w:tcPr>
            <w:tcW w:w="9810" w:type="dxa"/>
            <w:tcBorders>
              <w:top w:val="single" w:sz="1" w:space="0" w:color="000000"/>
              <w:left w:val="single" w:sz="1" w:space="0" w:color="000000"/>
              <w:bottom w:val="single" w:sz="1" w:space="0" w:color="000000"/>
              <w:right w:val="single" w:sz="1" w:space="0" w:color="000000"/>
            </w:tcBorders>
          </w:tcPr>
          <w:p w14:paraId="204216CB" w14:textId="77777777" w:rsidR="00505A2A" w:rsidRDefault="00000000">
            <w:pPr>
              <w:spacing w:after="200"/>
            </w:pPr>
            <w:r w:rsidRPr="00505A2A">
              <w:rPr>
                <w:b/>
                <w:bCs/>
              </w:rPr>
              <w:t xml:space="preserve">Background: </w:t>
            </w:r>
            <w:r>
              <w:t>LLMs are increasingly used for code modernisation (</w:t>
            </w:r>
            <w:proofErr w:type="spellStart"/>
            <w:r>
              <w:t>Java→Python</w:t>
            </w:r>
            <w:proofErr w:type="spellEnd"/>
            <w:r>
              <w:t xml:space="preserve">, </w:t>
            </w:r>
            <w:proofErr w:type="spellStart"/>
            <w:r>
              <w:t>legacy→modern</w:t>
            </w:r>
            <w:proofErr w:type="spellEnd"/>
            <w:r>
              <w:t xml:space="preserve"> patterns). Effectiveness depends critically on how code is represented to the LLM. Do we show raw source, AST, control flow graph, data flow graph, or combined </w:t>
            </w:r>
            <w:r w:rsidR="00505A2A">
              <w:t xml:space="preserve">intermediate </w:t>
            </w:r>
            <w:proofErr w:type="gramStart"/>
            <w:r w:rsidR="00505A2A">
              <w:t>representation(</w:t>
            </w:r>
            <w:proofErr w:type="gramEnd"/>
            <w:r>
              <w:t>IRs</w:t>
            </w:r>
            <w:r w:rsidR="00505A2A">
              <w:t>)</w:t>
            </w:r>
            <w:r>
              <w:t xml:space="preserve">? No systematic comparison exists. Different representations encode different information: ASTs capture syntax structure, CFGs capture control flow, DFGs capture data dependencies. </w:t>
            </w:r>
            <w:r w:rsidR="00505A2A">
              <w:t>It is unclear w</w:t>
            </w:r>
            <w:r>
              <w:t xml:space="preserve">hich helps LLMs best understand legacy code and produce high-quality modernised versions. </w:t>
            </w:r>
            <w:r w:rsidR="00505A2A">
              <w:t>We have</w:t>
            </w:r>
            <w:r>
              <w:t xml:space="preserve"> developed a mature tool </w:t>
            </w:r>
            <w:r w:rsidR="00505A2A">
              <w:t xml:space="preserve">for code modernisation </w:t>
            </w:r>
            <w:r>
              <w:t xml:space="preserve">with established infrastructure for handling large-scale code analysis; this project leverages that foundation to expand our IR toolkit. </w:t>
            </w:r>
          </w:p>
          <w:p w14:paraId="047973C3" w14:textId="3DAC90F7" w:rsidR="00603025" w:rsidRDefault="00000000">
            <w:pPr>
              <w:spacing w:after="200"/>
            </w:pPr>
            <w:r w:rsidRPr="00505A2A">
              <w:rPr>
                <w:b/>
                <w:bCs/>
              </w:rPr>
              <w:t>Opportunity:</w:t>
            </w:r>
            <w:r>
              <w:t xml:space="preserve"> Using existing tools to augment with additional IRs (AST, DFG, hybrid representations), evaluate comparative LLM modernisation performance, and identify which IRs work best for which patterns.</w:t>
            </w:r>
          </w:p>
          <w:p w14:paraId="6BBF5FBE" w14:textId="77777777" w:rsidR="00505A2A" w:rsidRDefault="00000000">
            <w:pPr>
              <w:spacing w:after="200"/>
            </w:pPr>
            <w:r w:rsidRPr="00505A2A">
              <w:rPr>
                <w:b/>
                <w:bCs/>
              </w:rPr>
              <w:t>Aims:</w:t>
            </w:r>
            <w:r>
              <w:t xml:space="preserve"> (1) Augment BSEL’s existing infrastructure with AST, DFG, and hybrid IR representations; (2) Curate a dataset of 200–300 code modernisation tasks using the augmented tool; (3) Benchmark LLMs (Claude/GPT-4) across all IR representations; (4) Evaluate results (syntactic correctness, semantic equivalence, code quality, performance); (5) Identify which IRs enable best LLM modernisation. </w:t>
            </w:r>
          </w:p>
          <w:p w14:paraId="425AB17B" w14:textId="65E3E99C" w:rsidR="00603025" w:rsidRDefault="00000000">
            <w:pPr>
              <w:spacing w:after="200"/>
            </w:pPr>
            <w:r w:rsidRPr="00505A2A">
              <w:rPr>
                <w:b/>
                <w:bCs/>
              </w:rPr>
              <w:t>Hypothesis</w:t>
            </w:r>
            <w:r>
              <w:t>: Structured IRs (AST, CFG, DFG) combined outperform single representations; results vary by code pattern. Key questions: Which IR combinations are most effective? Do diminishing returns exist (too many IRs?)? What trade-offs exist between IR richness and comprehension?</w:t>
            </w:r>
          </w:p>
          <w:p w14:paraId="65B6DC97" w14:textId="77777777" w:rsidR="00505A2A" w:rsidRPr="00505A2A" w:rsidRDefault="00000000">
            <w:pPr>
              <w:spacing w:after="200"/>
              <w:rPr>
                <w:b/>
                <w:bCs/>
              </w:rPr>
            </w:pPr>
            <w:r w:rsidRPr="00505A2A">
              <w:rPr>
                <w:b/>
                <w:bCs/>
              </w:rPr>
              <w:t xml:space="preserve">Methods: </w:t>
            </w:r>
          </w:p>
          <w:p w14:paraId="51FAC61E" w14:textId="5269DEDA" w:rsidR="00505A2A" w:rsidRDefault="00000000">
            <w:pPr>
              <w:spacing w:after="200"/>
            </w:pPr>
            <w:r>
              <w:t xml:space="preserve">Phase 1 (Wks1–2) understand </w:t>
            </w:r>
            <w:r w:rsidR="00505A2A">
              <w:t>the</w:t>
            </w:r>
            <w:r>
              <w:t xml:space="preserve"> existing CFG tool architecture; establish baseline CFG performance on code modernisation tasks. </w:t>
            </w:r>
          </w:p>
          <w:p w14:paraId="77869EC3" w14:textId="77777777" w:rsidR="00505A2A" w:rsidRDefault="00000000">
            <w:pPr>
              <w:spacing w:after="200"/>
            </w:pPr>
            <w:r>
              <w:t xml:space="preserve">Phase 2 (Wks3–4) augment tool to generate AST, DFG, annotated source representations; create hybrid IR combinations (CFG+AST, CFG+DFG, CFG+AST+DFG). </w:t>
            </w:r>
          </w:p>
          <w:p w14:paraId="40AAA60C" w14:textId="402C1DF9" w:rsidR="00505A2A" w:rsidRDefault="00000000">
            <w:pPr>
              <w:spacing w:after="200"/>
            </w:pPr>
            <w:r>
              <w:t>Phase 3 (Wks5–6) curate 200–300 code modernisation snippets (</w:t>
            </w:r>
            <w:proofErr w:type="spellStart"/>
            <w:r>
              <w:t>Java→Python</w:t>
            </w:r>
            <w:proofErr w:type="spellEnd"/>
            <w:r>
              <w:t xml:space="preserve">, legacy patterns); use augmented tool to generate all IR variants. Prompt LLMs with each IR, measure results (syntactic correctness, test case passing, code quality metrics). </w:t>
            </w:r>
          </w:p>
          <w:p w14:paraId="3756088E" w14:textId="77777777" w:rsidR="00505A2A" w:rsidRDefault="00000000">
            <w:pPr>
              <w:spacing w:after="200"/>
            </w:pPr>
            <w:r>
              <w:t xml:space="preserve">Phase 4 (Wk7) comparative analysis: rank IR combinations by effectiveness, identify which excel for which code patterns, statistical testing. </w:t>
            </w:r>
          </w:p>
          <w:p w14:paraId="36200230" w14:textId="37D84488" w:rsidR="00603025" w:rsidRDefault="00000000" w:rsidP="00505A2A">
            <w:pPr>
              <w:spacing w:after="200"/>
            </w:pPr>
            <w:r>
              <w:t>Phase 5 (Wk8) build interactive dataset and dashboard showing IR comparison results; document augmented tool.</w:t>
            </w:r>
          </w:p>
        </w:tc>
      </w:tr>
    </w:tbl>
    <w:p w14:paraId="09E4E33C" w14:textId="77777777" w:rsidR="00603025" w:rsidRDefault="00603025">
      <w:pPr>
        <w:spacing w:after="200"/>
      </w:pPr>
    </w:p>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6"/>
        <w:gridCol w:w="8774"/>
      </w:tblGrid>
      <w:tr w:rsidR="00603025" w14:paraId="1F69F6E4" w14:textId="77777777">
        <w:tc>
          <w:tcPr>
            <w:tcW w:w="630" w:type="dxa"/>
            <w:tcBorders>
              <w:top w:val="single" w:sz="1" w:space="0" w:color="000000"/>
              <w:left w:val="single" w:sz="1" w:space="0" w:color="000000"/>
              <w:bottom w:val="single" w:sz="1" w:space="0" w:color="000000"/>
              <w:right w:val="single" w:sz="1" w:space="0" w:color="000000"/>
            </w:tcBorders>
          </w:tcPr>
          <w:p w14:paraId="2CEE33E3" w14:textId="77777777" w:rsidR="00603025" w:rsidRDefault="00000000">
            <w:r>
              <w:rPr>
                <w:b/>
                <w:bCs/>
              </w:rPr>
              <w:t>Q3</w:t>
            </w:r>
          </w:p>
        </w:tc>
        <w:tc>
          <w:tcPr>
            <w:tcW w:w="9810" w:type="dxa"/>
            <w:tcBorders>
              <w:top w:val="single" w:sz="1" w:space="0" w:color="000000"/>
              <w:left w:val="single" w:sz="1" w:space="0" w:color="000000"/>
              <w:bottom w:val="single" w:sz="1" w:space="0" w:color="000000"/>
              <w:right w:val="single" w:sz="1" w:space="0" w:color="000000"/>
            </w:tcBorders>
          </w:tcPr>
          <w:p w14:paraId="4949630E" w14:textId="77777777" w:rsidR="00603025" w:rsidRDefault="00000000">
            <w:r>
              <w:t>What techniques/training will the scholarship provide? (no more than 150 words)</w:t>
            </w:r>
          </w:p>
        </w:tc>
      </w:tr>
      <w:tr w:rsidR="00603025" w14:paraId="56E9284E" w14:textId="77777777">
        <w:tc>
          <w:tcPr>
            <w:tcW w:w="630" w:type="dxa"/>
            <w:tcBorders>
              <w:top w:val="single" w:sz="1" w:space="0" w:color="000000"/>
              <w:left w:val="single" w:sz="1" w:space="0" w:color="000000"/>
              <w:bottom w:val="single" w:sz="1" w:space="0" w:color="000000"/>
              <w:right w:val="single" w:sz="1" w:space="0" w:color="000000"/>
            </w:tcBorders>
          </w:tcPr>
          <w:p w14:paraId="3F314466" w14:textId="77777777" w:rsidR="00603025" w:rsidRDefault="00603025"/>
        </w:tc>
        <w:tc>
          <w:tcPr>
            <w:tcW w:w="9810" w:type="dxa"/>
            <w:tcBorders>
              <w:top w:val="single" w:sz="1" w:space="0" w:color="000000"/>
              <w:left w:val="single" w:sz="1" w:space="0" w:color="000000"/>
              <w:bottom w:val="single" w:sz="1" w:space="0" w:color="000000"/>
              <w:right w:val="single" w:sz="1" w:space="0" w:color="000000"/>
            </w:tcBorders>
          </w:tcPr>
          <w:p w14:paraId="6019C00A" w14:textId="5DFF846D" w:rsidR="00603025" w:rsidRDefault="00056178">
            <w:r>
              <w:t xml:space="preserve">Empirical evaluation methodology and statistical testing. Dataset curation and annotation at scale. Intermediate representation theory: AST, CFG, DFG, hybrid IRs. Code parsing and syntax tree extraction. Data flow analysis (variable definitions/uses). Graph representation and transformation. Tool integration and augmentation (extending existing pipelines). LLM APIs and prompt engineering (formatting IRs as context). Code evaluation: syntactic correctness, semantic equivalence, test harness design. Code quality metrics and assessment. These activities provide strong preparation for doctoral research by developing skills in </w:t>
            </w:r>
            <w:r>
              <w:lastRenderedPageBreak/>
              <w:t>experimental design, data analysis, tool development, and research evaluation. The project also builds valuable transferable skills, including technical communication, problem solving, independent research, project management, and collaboration with academic and industrial partners.</w:t>
            </w:r>
          </w:p>
        </w:tc>
      </w:tr>
    </w:tbl>
    <w:p w14:paraId="49BC2F06" w14:textId="77777777" w:rsidR="00603025" w:rsidRDefault="00603025">
      <w:pPr>
        <w:spacing w:after="200"/>
      </w:pPr>
    </w:p>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8773"/>
      </w:tblGrid>
      <w:tr w:rsidR="00603025" w14:paraId="41E85C8B" w14:textId="77777777">
        <w:tc>
          <w:tcPr>
            <w:tcW w:w="630" w:type="dxa"/>
            <w:tcBorders>
              <w:top w:val="single" w:sz="1" w:space="0" w:color="000000"/>
              <w:left w:val="single" w:sz="1" w:space="0" w:color="000000"/>
              <w:bottom w:val="single" w:sz="1" w:space="0" w:color="000000"/>
              <w:right w:val="single" w:sz="1" w:space="0" w:color="000000"/>
            </w:tcBorders>
          </w:tcPr>
          <w:p w14:paraId="5364C83A" w14:textId="77777777" w:rsidR="00603025" w:rsidRDefault="00000000">
            <w:r>
              <w:rPr>
                <w:b/>
                <w:bCs/>
              </w:rPr>
              <w:t>Q4</w:t>
            </w:r>
          </w:p>
        </w:tc>
        <w:tc>
          <w:tcPr>
            <w:tcW w:w="9810" w:type="dxa"/>
            <w:tcBorders>
              <w:top w:val="single" w:sz="1" w:space="0" w:color="000000"/>
              <w:left w:val="single" w:sz="1" w:space="0" w:color="000000"/>
              <w:bottom w:val="single" w:sz="1" w:space="0" w:color="000000"/>
              <w:right w:val="single" w:sz="1" w:space="0" w:color="000000"/>
            </w:tcBorders>
          </w:tcPr>
          <w:p w14:paraId="5C624B1C" w14:textId="77777777" w:rsidR="00603025" w:rsidRDefault="00000000">
            <w:r>
              <w:t>How does this research relate to work being carried out in the supervisor’s laboratory? (no more than 100 words)</w:t>
            </w:r>
          </w:p>
        </w:tc>
      </w:tr>
      <w:tr w:rsidR="00603025" w14:paraId="158B5A1C" w14:textId="77777777">
        <w:tc>
          <w:tcPr>
            <w:tcW w:w="630" w:type="dxa"/>
            <w:tcBorders>
              <w:top w:val="single" w:sz="1" w:space="0" w:color="000000"/>
              <w:left w:val="single" w:sz="1" w:space="0" w:color="000000"/>
              <w:bottom w:val="single" w:sz="1" w:space="0" w:color="000000"/>
              <w:right w:val="single" w:sz="1" w:space="0" w:color="000000"/>
            </w:tcBorders>
          </w:tcPr>
          <w:p w14:paraId="0A332581" w14:textId="77777777" w:rsidR="00603025" w:rsidRDefault="00603025"/>
        </w:tc>
        <w:tc>
          <w:tcPr>
            <w:tcW w:w="9810" w:type="dxa"/>
            <w:tcBorders>
              <w:top w:val="single" w:sz="1" w:space="0" w:color="000000"/>
              <w:left w:val="single" w:sz="1" w:space="0" w:color="000000"/>
              <w:bottom w:val="single" w:sz="1" w:space="0" w:color="000000"/>
              <w:right w:val="single" w:sz="1" w:space="0" w:color="000000"/>
            </w:tcBorders>
          </w:tcPr>
          <w:p w14:paraId="673273A4" w14:textId="60FAD49A" w:rsidR="00603025" w:rsidRDefault="00505A2A">
            <w:r>
              <w:t xml:space="preserve">This project aligns closely with ongoing research within the group on software modernization and code transformation. The supervisor is currently working with PhD student Robert Shuttleworth on related tooling and methodologies, while also maintaining active collaborations with industry partners, including </w:t>
            </w:r>
            <w:proofErr w:type="spellStart"/>
            <w:r>
              <w:t>TraceSolutions</w:t>
            </w:r>
            <w:proofErr w:type="spellEnd"/>
            <w:r>
              <w:t xml:space="preserve">, on software migration and modernization challenges. These existing academic and industrial links provide a strong environment for the project, enabling access to relevant expertise, realistic use cases, and opportunities for evaluation and impact beyond academia. </w:t>
            </w:r>
            <w:proofErr w:type="gramStart"/>
            <w:r>
              <w:t>he</w:t>
            </w:r>
            <w:proofErr w:type="gramEnd"/>
            <w:r>
              <w:t xml:space="preserve"> outcomes will be evaluated alongside related tools and are expected to contribute to future high-impact publications, including submissions to the </w:t>
            </w:r>
            <w:r>
              <w:rPr>
                <w:rStyle w:val="whitespace-normal"/>
              </w:rPr>
              <w:t>ACM Transactions on Software Engineering and Methodology</w:t>
            </w:r>
            <w:r>
              <w:t xml:space="preserve">. </w:t>
            </w:r>
          </w:p>
        </w:tc>
      </w:tr>
    </w:tbl>
    <w:p w14:paraId="1E0C9D7F" w14:textId="77777777" w:rsidR="00603025" w:rsidRDefault="00603025">
      <w:pPr>
        <w:spacing w:after="200"/>
      </w:pPr>
    </w:p>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7"/>
        <w:gridCol w:w="8773"/>
      </w:tblGrid>
      <w:tr w:rsidR="00603025" w14:paraId="09F851A9" w14:textId="77777777">
        <w:tc>
          <w:tcPr>
            <w:tcW w:w="630" w:type="dxa"/>
            <w:tcBorders>
              <w:top w:val="single" w:sz="1" w:space="0" w:color="000000"/>
              <w:left w:val="single" w:sz="1" w:space="0" w:color="000000"/>
              <w:bottom w:val="single" w:sz="1" w:space="0" w:color="000000"/>
              <w:right w:val="single" w:sz="1" w:space="0" w:color="000000"/>
            </w:tcBorders>
          </w:tcPr>
          <w:p w14:paraId="6502C2E3" w14:textId="77777777" w:rsidR="00603025" w:rsidRDefault="00000000">
            <w:r>
              <w:rPr>
                <w:b/>
                <w:bCs/>
              </w:rPr>
              <w:t>Q5</w:t>
            </w:r>
          </w:p>
        </w:tc>
        <w:tc>
          <w:tcPr>
            <w:tcW w:w="9810" w:type="dxa"/>
            <w:tcBorders>
              <w:top w:val="single" w:sz="1" w:space="0" w:color="000000"/>
              <w:left w:val="single" w:sz="1" w:space="0" w:color="000000"/>
              <w:bottom w:val="single" w:sz="1" w:space="0" w:color="000000"/>
              <w:right w:val="single" w:sz="1" w:space="0" w:color="000000"/>
            </w:tcBorders>
          </w:tcPr>
          <w:p w14:paraId="35FB6FAF" w14:textId="77777777" w:rsidR="00603025" w:rsidRDefault="00000000">
            <w:r>
              <w:t>Please provide a short statement outlining the arrangements that will be put in place to supervise the student (no more than 200 words)</w:t>
            </w:r>
          </w:p>
        </w:tc>
      </w:tr>
      <w:tr w:rsidR="00603025" w14:paraId="67D54381" w14:textId="77777777">
        <w:tc>
          <w:tcPr>
            <w:tcW w:w="630" w:type="dxa"/>
            <w:tcBorders>
              <w:top w:val="single" w:sz="1" w:space="0" w:color="000000"/>
              <w:left w:val="single" w:sz="1" w:space="0" w:color="000000"/>
              <w:bottom w:val="single" w:sz="1" w:space="0" w:color="000000"/>
              <w:right w:val="single" w:sz="1" w:space="0" w:color="000000"/>
            </w:tcBorders>
          </w:tcPr>
          <w:p w14:paraId="16618601" w14:textId="77777777" w:rsidR="00603025" w:rsidRDefault="00603025"/>
        </w:tc>
        <w:tc>
          <w:tcPr>
            <w:tcW w:w="9810" w:type="dxa"/>
            <w:tcBorders>
              <w:top w:val="single" w:sz="1" w:space="0" w:color="000000"/>
              <w:left w:val="single" w:sz="1" w:space="0" w:color="000000"/>
              <w:bottom w:val="single" w:sz="1" w:space="0" w:color="000000"/>
              <w:right w:val="single" w:sz="1" w:space="0" w:color="000000"/>
            </w:tcBorders>
          </w:tcPr>
          <w:p w14:paraId="61F61647" w14:textId="4A2E5825" w:rsidR="00505A2A" w:rsidRDefault="00000000">
            <w:r>
              <w:t xml:space="preserve">Structured research supervision: </w:t>
            </w:r>
          </w:p>
          <w:p w14:paraId="721842DD" w14:textId="77777777" w:rsidR="00505A2A" w:rsidRDefault="00000000">
            <w:r>
              <w:t xml:space="preserve">(1) Weekly 1-hour meetings on IR augmentation strategy, tool integration, and LLM evaluation design; </w:t>
            </w:r>
          </w:p>
          <w:p w14:paraId="108D10D5" w14:textId="77777777" w:rsidR="00505A2A" w:rsidRDefault="00000000">
            <w:r>
              <w:t xml:space="preserve">(2) Fortnightly milestones: Wk2 (existing tool understood, baseline established), Wk4 (new IRs integrated), Wk6 (LLM evaluation complete), Wk8 (analysis + dashboard). </w:t>
            </w:r>
          </w:p>
          <w:p w14:paraId="7994C929" w14:textId="77777777" w:rsidR="00505A2A" w:rsidRDefault="00000000">
            <w:r>
              <w:t xml:space="preserve">(3) Access to </w:t>
            </w:r>
            <w:r w:rsidR="00505A2A">
              <w:t>the existing</w:t>
            </w:r>
            <w:r>
              <w:t xml:space="preserve"> tool, established computational infrastructure, and LLM API credits.</w:t>
            </w:r>
          </w:p>
          <w:p w14:paraId="016192F2" w14:textId="77777777" w:rsidR="00505A2A" w:rsidRDefault="00000000">
            <w:r>
              <w:t xml:space="preserve">(4) Collaboration with tool developers for integration guidance and code quality assessment expertise. </w:t>
            </w:r>
          </w:p>
          <w:p w14:paraId="201113B2" w14:textId="4EF742CA" w:rsidR="00505A2A" w:rsidRDefault="00000000">
            <w:r>
              <w:t xml:space="preserve">(5) Daily </w:t>
            </w:r>
            <w:r w:rsidR="00505A2A">
              <w:t>Teams</w:t>
            </w:r>
            <w:r>
              <w:t xml:space="preserve">/email support </w:t>
            </w:r>
          </w:p>
          <w:p w14:paraId="53F229AE" w14:textId="77777777" w:rsidR="00505A2A" w:rsidRDefault="00000000">
            <w:r w:rsidRPr="00505A2A">
              <w:rPr>
                <w:b/>
                <w:bCs/>
              </w:rPr>
              <w:t>Deliverables</w:t>
            </w:r>
            <w:r>
              <w:t xml:space="preserve">: augmented IR toolkit, curated dataset (200–300 snippets with all IR variants), interactive dashboard, usage documentation. </w:t>
            </w:r>
          </w:p>
          <w:p w14:paraId="365EA463" w14:textId="1AF142DA" w:rsidR="00603025" w:rsidRDefault="00000000">
            <w:r>
              <w:t xml:space="preserve">Publication: </w:t>
            </w:r>
            <w:r w:rsidR="00505A2A">
              <w:t>We will target ACM Transactions on Software Engineering and Methodology (TOSEM) which will publish the tool, the approach of IR for improving LLM performance and the evaluation. The student contribution will be part of the research effort along with other students from the group.  The i</w:t>
            </w:r>
            <w:r>
              <w:t>nterns</w:t>
            </w:r>
            <w:r w:rsidR="00505A2A">
              <w:t xml:space="preserve"> will be</w:t>
            </w:r>
            <w:r>
              <w:t xml:space="preserve"> positioned for PhD extending the infrastructure further</w:t>
            </w:r>
            <w:r w:rsidR="00505A2A">
              <w:t xml:space="preserve"> on the topic of LLM-based software modernisation</w:t>
            </w:r>
            <w:r>
              <w:t>.</w:t>
            </w:r>
          </w:p>
        </w:tc>
      </w:tr>
    </w:tbl>
    <w:p w14:paraId="7B8B8806" w14:textId="77777777" w:rsidR="00603025" w:rsidRDefault="00603025">
      <w:pPr>
        <w:spacing w:after="400"/>
      </w:pPr>
    </w:p>
    <w:tbl>
      <w:tblPr>
        <w:tblW w:w="9360" w:type="dxa"/>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03025" w14:paraId="49F80E46" w14:textId="77777777">
        <w:tc>
          <w:tcPr>
            <w:tcW w:w="4680" w:type="dxa"/>
            <w:tcBorders>
              <w:top w:val="single" w:sz="1" w:space="0" w:color="000000"/>
              <w:left w:val="single" w:sz="1" w:space="0" w:color="000000"/>
              <w:bottom w:val="single" w:sz="1" w:space="0" w:color="000000"/>
              <w:right w:val="single" w:sz="1" w:space="0" w:color="000000"/>
            </w:tcBorders>
          </w:tcPr>
          <w:p w14:paraId="32EE380E" w14:textId="607B3C67" w:rsidR="00603025" w:rsidRDefault="00000000">
            <w:r>
              <w:t xml:space="preserve">Project Supervisor’s Signature: </w:t>
            </w:r>
            <w:r w:rsidR="0027016C">
              <w:rPr>
                <w:noProof/>
              </w:rPr>
              <w:drawing>
                <wp:inline distT="0" distB="0" distL="0" distR="0" wp14:anchorId="72C91302" wp14:editId="0325F8A0">
                  <wp:extent cx="389744" cy="387382"/>
                  <wp:effectExtent l="0" t="0" r="4445" b="0"/>
                  <wp:docPr id="141866229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62294" name="Picture 1" descr="A close-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801" cy="410299"/>
                          </a:xfrm>
                          <a:prstGeom prst="rect">
                            <a:avLst/>
                          </a:prstGeom>
                        </pic:spPr>
                      </pic:pic>
                    </a:graphicData>
                  </a:graphic>
                </wp:inline>
              </w:drawing>
            </w:r>
            <w:r>
              <w:t>____________</w:t>
            </w:r>
          </w:p>
        </w:tc>
        <w:tc>
          <w:tcPr>
            <w:tcW w:w="4680" w:type="dxa"/>
            <w:tcBorders>
              <w:top w:val="single" w:sz="1" w:space="0" w:color="000000"/>
              <w:left w:val="single" w:sz="1" w:space="0" w:color="000000"/>
              <w:bottom w:val="single" w:sz="1" w:space="0" w:color="000000"/>
              <w:right w:val="single" w:sz="1" w:space="0" w:color="000000"/>
            </w:tcBorders>
          </w:tcPr>
          <w:p w14:paraId="77E93DE2" w14:textId="71D049C1" w:rsidR="00603025" w:rsidRDefault="00000000">
            <w:r>
              <w:t>Date: _____</w:t>
            </w:r>
            <w:r w:rsidR="00505A2A">
              <w:t>31.05.2026</w:t>
            </w:r>
            <w:r>
              <w:t>__________</w:t>
            </w:r>
          </w:p>
        </w:tc>
      </w:tr>
    </w:tbl>
    <w:p w14:paraId="4C4860FB" w14:textId="77777777" w:rsidR="00A522BE" w:rsidRDefault="00A522BE"/>
    <w:sectPr w:rsidR="00A522B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72D09"/>
    <w:multiLevelType w:val="hybridMultilevel"/>
    <w:tmpl w:val="D5A83C38"/>
    <w:lvl w:ilvl="0" w:tplc="9F6EA960">
      <w:start w:val="1"/>
      <w:numFmt w:val="bullet"/>
      <w:lvlText w:val="●"/>
      <w:lvlJc w:val="left"/>
      <w:pPr>
        <w:ind w:left="720" w:hanging="360"/>
      </w:pPr>
    </w:lvl>
    <w:lvl w:ilvl="1" w:tplc="39861D36">
      <w:start w:val="1"/>
      <w:numFmt w:val="bullet"/>
      <w:lvlText w:val="○"/>
      <w:lvlJc w:val="left"/>
      <w:pPr>
        <w:ind w:left="1440" w:hanging="360"/>
      </w:pPr>
    </w:lvl>
    <w:lvl w:ilvl="2" w:tplc="1CE00D32">
      <w:start w:val="1"/>
      <w:numFmt w:val="bullet"/>
      <w:lvlText w:val="■"/>
      <w:lvlJc w:val="left"/>
      <w:pPr>
        <w:ind w:left="2160" w:hanging="360"/>
      </w:pPr>
    </w:lvl>
    <w:lvl w:ilvl="3" w:tplc="AE30EE24">
      <w:start w:val="1"/>
      <w:numFmt w:val="bullet"/>
      <w:lvlText w:val="●"/>
      <w:lvlJc w:val="left"/>
      <w:pPr>
        <w:ind w:left="2880" w:hanging="360"/>
      </w:pPr>
    </w:lvl>
    <w:lvl w:ilvl="4" w:tplc="999ECAF4">
      <w:start w:val="1"/>
      <w:numFmt w:val="bullet"/>
      <w:lvlText w:val="○"/>
      <w:lvlJc w:val="left"/>
      <w:pPr>
        <w:ind w:left="3600" w:hanging="360"/>
      </w:pPr>
    </w:lvl>
    <w:lvl w:ilvl="5" w:tplc="AD28459A">
      <w:start w:val="1"/>
      <w:numFmt w:val="bullet"/>
      <w:lvlText w:val="■"/>
      <w:lvlJc w:val="left"/>
      <w:pPr>
        <w:ind w:left="4320" w:hanging="360"/>
      </w:pPr>
    </w:lvl>
    <w:lvl w:ilvl="6" w:tplc="74AEBA76">
      <w:start w:val="1"/>
      <w:numFmt w:val="bullet"/>
      <w:lvlText w:val="●"/>
      <w:lvlJc w:val="left"/>
      <w:pPr>
        <w:ind w:left="5040" w:hanging="360"/>
      </w:pPr>
    </w:lvl>
    <w:lvl w:ilvl="7" w:tplc="EAEE5982">
      <w:start w:val="1"/>
      <w:numFmt w:val="bullet"/>
      <w:lvlText w:val="●"/>
      <w:lvlJc w:val="left"/>
      <w:pPr>
        <w:ind w:left="5760" w:hanging="360"/>
      </w:pPr>
    </w:lvl>
    <w:lvl w:ilvl="8" w:tplc="223A510A">
      <w:start w:val="1"/>
      <w:numFmt w:val="bullet"/>
      <w:lvlText w:val="●"/>
      <w:lvlJc w:val="left"/>
      <w:pPr>
        <w:ind w:left="6480" w:hanging="360"/>
      </w:pPr>
    </w:lvl>
  </w:abstractNum>
  <w:num w:numId="1" w16cid:durableId="910038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25"/>
    <w:rsid w:val="00056178"/>
    <w:rsid w:val="00143D40"/>
    <w:rsid w:val="0027016C"/>
    <w:rsid w:val="002E2799"/>
    <w:rsid w:val="00336151"/>
    <w:rsid w:val="00505A2A"/>
    <w:rsid w:val="00603025"/>
    <w:rsid w:val="00A522BE"/>
    <w:rsid w:val="00AB1532"/>
    <w:rsid w:val="00AC2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4E85"/>
  <w15:docId w15:val="{CAD4278F-866F-8E46-8E67-C20477AE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whitespace-normal">
    <w:name w:val="whitespace-normal"/>
    <w:basedOn w:val="DefaultParagraphFont"/>
    <w:rsid w:val="0050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Hussam Jouhara (Staff)</cp:lastModifiedBy>
  <cp:revision>2</cp:revision>
  <dcterms:created xsi:type="dcterms:W3CDTF">2026-06-03T13:27:00Z</dcterms:created>
  <dcterms:modified xsi:type="dcterms:W3CDTF">2026-06-03T13:27:00Z</dcterms:modified>
</cp:coreProperties>
</file>